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8712F">
      <w:pPr>
        <w:tabs>
          <w:tab w:val="left" w:pos="3265"/>
        </w:tabs>
        <w:spacing w:line="240" w:lineRule="auto"/>
        <w:ind w:left="0" w:leftChars="0" w:firstLine="0" w:firstLineChars="0"/>
        <w:jc w:val="center"/>
        <w:rPr>
          <w:rFonts w:hint="eastAsia" w:ascii="Calibri" w:hAnsi="Calibri" w:eastAsia="宋体"/>
          <w:color w:val="auto"/>
          <w:szCs w:val="28"/>
          <w:highlight w:val="none"/>
          <w:lang w:eastAsia="zh-CN"/>
        </w:rPr>
      </w:pPr>
      <w:r>
        <w:rPr>
          <w:rFonts w:hint="eastAsia" w:ascii="Calibri" w:hAnsi="Calibri" w:eastAsia="宋体"/>
          <w:color w:val="auto"/>
          <w:szCs w:val="28"/>
          <w:highlight w:val="none"/>
          <w:lang w:eastAsia="zh-CN"/>
        </w:rPr>
        <w:drawing>
          <wp:inline distT="0" distB="0" distL="114300" distR="114300">
            <wp:extent cx="5400040" cy="4050030"/>
            <wp:effectExtent l="0" t="0" r="10160" b="3810"/>
            <wp:docPr id="32" name="图片 32"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001"/>
                    <pic:cNvPicPr>
                      <a:picLocks noChangeAspect="1"/>
                    </pic:cNvPicPr>
                  </pic:nvPicPr>
                  <pic:blipFill>
                    <a:blip r:embed="rId15"/>
                    <a:stretch>
                      <a:fillRect/>
                    </a:stretch>
                  </pic:blipFill>
                  <pic:spPr>
                    <a:xfrm>
                      <a:off x="0" y="0"/>
                      <a:ext cx="5400040" cy="4050030"/>
                    </a:xfrm>
                    <a:prstGeom prst="rect">
                      <a:avLst/>
                    </a:prstGeom>
                  </pic:spPr>
                </pic:pic>
              </a:graphicData>
            </a:graphic>
          </wp:inline>
        </w:drawing>
      </w:r>
    </w:p>
    <w:p w14:paraId="157871F2">
      <w:pPr>
        <w:tabs>
          <w:tab w:val="left" w:pos="3265"/>
        </w:tabs>
        <w:ind w:left="0" w:leftChars="0" w:firstLine="0" w:firstLineChars="0"/>
        <w:jc w:val="center"/>
        <w:rPr>
          <w:rFonts w:hint="eastAsia" w:ascii="Calibri" w:hAnsi="Calibri" w:eastAsia="宋体"/>
          <w:color w:val="auto"/>
          <w:szCs w:val="28"/>
          <w:highlight w:val="none"/>
          <w:lang w:eastAsia="zh-CN"/>
        </w:rPr>
      </w:pPr>
      <w:r>
        <w:rPr>
          <w:rFonts w:hint="eastAsia" w:ascii="Calibri" w:hAnsi="Calibri"/>
          <w:color w:val="auto"/>
          <w:szCs w:val="28"/>
          <w:highlight w:val="none"/>
          <w:lang w:val="en-US" w:eastAsia="zh-CN"/>
        </w:rPr>
        <w:t>右：</w:t>
      </w:r>
      <w:r>
        <w:rPr>
          <w:rFonts w:hint="eastAsia" w:ascii="Calibri" w:hAnsi="Calibri" w:eastAsia="宋体"/>
          <w:color w:val="auto"/>
          <w:szCs w:val="28"/>
          <w:highlight w:val="none"/>
          <w:lang w:eastAsia="zh-CN"/>
        </w:rPr>
        <w:t>黄义敏（二级评价师）、</w:t>
      </w:r>
      <w:r>
        <w:rPr>
          <w:rFonts w:hint="eastAsia" w:ascii="Calibri" w:hAnsi="Calibri"/>
          <w:color w:val="auto"/>
          <w:szCs w:val="28"/>
          <w:highlight w:val="none"/>
          <w:lang w:val="en-US" w:eastAsia="zh-CN"/>
        </w:rPr>
        <w:t>中：蔡明辉</w:t>
      </w:r>
      <w:bookmarkStart w:id="444" w:name="_GoBack"/>
      <w:bookmarkEnd w:id="444"/>
      <w:r>
        <w:rPr>
          <w:rFonts w:hint="eastAsia" w:ascii="Calibri" w:hAnsi="Calibri" w:eastAsia="宋体"/>
          <w:color w:val="auto"/>
          <w:szCs w:val="28"/>
          <w:highlight w:val="none"/>
          <w:lang w:eastAsia="zh-CN"/>
        </w:rPr>
        <w:t>、</w:t>
      </w:r>
      <w:r>
        <w:rPr>
          <w:rFonts w:hint="eastAsia" w:ascii="Calibri" w:hAnsi="Calibri"/>
          <w:color w:val="auto"/>
          <w:szCs w:val="28"/>
          <w:highlight w:val="none"/>
          <w:lang w:val="en-US" w:eastAsia="zh-CN"/>
        </w:rPr>
        <w:t>左：</w:t>
      </w:r>
      <w:r>
        <w:rPr>
          <w:rFonts w:hint="eastAsia" w:ascii="Calibri" w:hAnsi="Calibri" w:eastAsia="宋体"/>
          <w:color w:val="auto"/>
          <w:szCs w:val="28"/>
          <w:highlight w:val="none"/>
          <w:lang w:val="en-US" w:eastAsia="zh-CN"/>
        </w:rPr>
        <w:t>季凯光（三</w:t>
      </w:r>
      <w:r>
        <w:rPr>
          <w:rFonts w:hint="eastAsia" w:ascii="Calibri" w:hAnsi="Calibri" w:eastAsia="宋体"/>
          <w:color w:val="auto"/>
          <w:szCs w:val="28"/>
          <w:highlight w:val="none"/>
          <w:lang w:eastAsia="zh-CN"/>
        </w:rPr>
        <w:t>级评价师</w:t>
      </w:r>
      <w:r>
        <w:rPr>
          <w:rFonts w:hint="eastAsia" w:ascii="Calibri" w:hAnsi="Calibri" w:eastAsia="宋体"/>
          <w:color w:val="auto"/>
          <w:szCs w:val="28"/>
          <w:highlight w:val="none"/>
          <w:lang w:val="en-US" w:eastAsia="zh-CN"/>
        </w:rPr>
        <w:t>）</w:t>
      </w:r>
    </w:p>
    <w:p w14:paraId="58726D58">
      <w:pPr>
        <w:tabs>
          <w:tab w:val="left" w:pos="3265"/>
        </w:tabs>
        <w:spacing w:line="240" w:lineRule="auto"/>
        <w:ind w:left="0" w:leftChars="0" w:firstLine="0" w:firstLineChars="0"/>
        <w:jc w:val="center"/>
        <w:rPr>
          <w:rFonts w:hint="eastAsia" w:ascii="Calibri" w:hAnsi="Calibri" w:eastAsia="宋体" w:cs="宋体"/>
          <w:color w:val="auto"/>
          <w:szCs w:val="28"/>
          <w:highlight w:val="none"/>
          <w:lang w:val="en-US" w:eastAsia="zh-CN"/>
        </w:rPr>
      </w:pPr>
      <w:r>
        <w:rPr>
          <w:rFonts w:hint="eastAsia" w:ascii="Calibri" w:hAnsi="Calibri" w:eastAsia="宋体" w:cs="宋体"/>
          <w:color w:val="auto"/>
          <w:szCs w:val="28"/>
          <w:highlight w:val="none"/>
          <w:lang w:val="en-US" w:eastAsia="zh-CN"/>
        </w:rPr>
        <w:drawing>
          <wp:inline distT="0" distB="0" distL="114300" distR="114300">
            <wp:extent cx="5400040" cy="4050030"/>
            <wp:effectExtent l="0" t="0" r="10160" b="3810"/>
            <wp:docPr id="36" name="图片 36" descr="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025"/>
                    <pic:cNvPicPr>
                      <a:picLocks noChangeAspect="1"/>
                    </pic:cNvPicPr>
                  </pic:nvPicPr>
                  <pic:blipFill>
                    <a:blip r:embed="rId16"/>
                    <a:stretch>
                      <a:fillRect/>
                    </a:stretch>
                  </pic:blipFill>
                  <pic:spPr>
                    <a:xfrm>
                      <a:off x="0" y="0"/>
                      <a:ext cx="5400040" cy="4050030"/>
                    </a:xfrm>
                    <a:prstGeom prst="rect">
                      <a:avLst/>
                    </a:prstGeom>
                  </pic:spPr>
                </pic:pic>
              </a:graphicData>
            </a:graphic>
          </wp:inline>
        </w:drawing>
      </w:r>
    </w:p>
    <w:p w14:paraId="5D409FC9">
      <w:pPr>
        <w:tabs>
          <w:tab w:val="left" w:pos="3265"/>
        </w:tabs>
        <w:spacing w:line="240" w:lineRule="auto"/>
        <w:ind w:left="0" w:leftChars="0" w:firstLine="0" w:firstLineChars="0"/>
        <w:jc w:val="center"/>
        <w:rPr>
          <w:rFonts w:hint="eastAsia" w:ascii="Calibri" w:hAnsi="Calibri"/>
          <w:color w:val="auto"/>
          <w:szCs w:val="28"/>
          <w:highlight w:val="none"/>
          <w:lang w:val="en-US" w:eastAsia="zh-CN"/>
        </w:rPr>
      </w:pPr>
      <w:r>
        <w:rPr>
          <w:rFonts w:hint="eastAsia" w:ascii="Calibri" w:hAnsi="Calibri" w:eastAsia="宋体" w:cs="宋体"/>
          <w:color w:val="auto"/>
          <w:szCs w:val="28"/>
          <w:highlight w:val="none"/>
          <w:lang w:val="en-US" w:eastAsia="zh-CN"/>
        </w:rPr>
        <w:t>加</w:t>
      </w:r>
      <w:r>
        <w:rPr>
          <w:rFonts w:hint="eastAsia" w:ascii="Calibri" w:hAnsi="Calibri"/>
          <w:color w:val="auto"/>
          <w:szCs w:val="28"/>
          <w:highlight w:val="none"/>
          <w:lang w:val="en-US" w:eastAsia="zh-CN"/>
        </w:rPr>
        <w:t>油站全貌</w:t>
      </w:r>
    </w:p>
    <w:p w14:paraId="0A966409">
      <w:pPr>
        <w:spacing w:line="240" w:lineRule="auto"/>
        <w:ind w:left="0" w:leftChars="0" w:firstLine="0" w:firstLineChars="0"/>
        <w:jc w:val="center"/>
        <w:rPr>
          <w:rFonts w:hint="eastAsia" w:eastAsia="宋体"/>
          <w:color w:val="auto"/>
          <w:sz w:val="32"/>
          <w:szCs w:val="32"/>
          <w:highlight w:val="none"/>
          <w:lang w:eastAsia="zh-CN"/>
        </w:rPr>
      </w:pPr>
      <w:r>
        <w:rPr>
          <w:rFonts w:hint="eastAsia" w:eastAsia="宋体"/>
          <w:color w:val="auto"/>
          <w:sz w:val="32"/>
          <w:szCs w:val="32"/>
          <w:highlight w:val="none"/>
          <w:lang w:eastAsia="zh-CN"/>
        </w:rPr>
        <w:drawing>
          <wp:inline distT="0" distB="0" distL="114300" distR="114300">
            <wp:extent cx="5400040" cy="4050030"/>
            <wp:effectExtent l="0" t="0" r="10160" b="3810"/>
            <wp:docPr id="37" name="图片 37" descr="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012"/>
                    <pic:cNvPicPr>
                      <a:picLocks noChangeAspect="1"/>
                    </pic:cNvPicPr>
                  </pic:nvPicPr>
                  <pic:blipFill>
                    <a:blip r:embed="rId17"/>
                    <a:stretch>
                      <a:fillRect/>
                    </a:stretch>
                  </pic:blipFill>
                  <pic:spPr>
                    <a:xfrm>
                      <a:off x="0" y="0"/>
                      <a:ext cx="5400040" cy="4050030"/>
                    </a:xfrm>
                    <a:prstGeom prst="rect">
                      <a:avLst/>
                    </a:prstGeom>
                  </pic:spPr>
                </pic:pic>
              </a:graphicData>
            </a:graphic>
          </wp:inline>
        </w:drawing>
      </w:r>
    </w:p>
    <w:p w14:paraId="6348CAB7">
      <w:pPr>
        <w:tabs>
          <w:tab w:val="left" w:pos="3265"/>
        </w:tabs>
        <w:ind w:left="0" w:leftChars="0" w:firstLine="0" w:firstLineChars="0"/>
        <w:jc w:val="center"/>
        <w:rPr>
          <w:rFonts w:hint="eastAsia" w:ascii="Calibri" w:hAnsi="Calibri"/>
          <w:color w:val="auto"/>
          <w:szCs w:val="28"/>
          <w:highlight w:val="none"/>
          <w:lang w:val="en-US" w:eastAsia="zh-CN"/>
        </w:rPr>
      </w:pPr>
      <w:r>
        <w:rPr>
          <w:rFonts w:hint="eastAsia" w:ascii="Calibri" w:hAnsi="Calibri"/>
          <w:color w:val="auto"/>
          <w:szCs w:val="28"/>
          <w:highlight w:val="none"/>
          <w:lang w:val="en-US" w:eastAsia="zh-CN"/>
        </w:rPr>
        <w:t>加油区</w:t>
      </w:r>
    </w:p>
    <w:p w14:paraId="52F6AAA4">
      <w:pPr>
        <w:pStyle w:val="32"/>
        <w:bidi w:val="0"/>
        <w:ind w:firstLine="0"/>
        <w:rPr>
          <w:rFonts w:hint="eastAsia" w:ascii="宋体" w:hAnsi="宋体" w:eastAsia="宋体"/>
          <w:color w:val="auto"/>
          <w:szCs w:val="22"/>
          <w:highlight w:val="none"/>
          <w:lang w:val="en-US" w:eastAsia="zh-CN"/>
        </w:rPr>
      </w:pPr>
      <w:r>
        <w:rPr>
          <w:rFonts w:hint="eastAsia" w:ascii="宋体" w:hAnsi="宋体" w:eastAsia="宋体"/>
          <w:color w:val="auto"/>
          <w:szCs w:val="22"/>
          <w:highlight w:val="none"/>
          <w:lang w:val="en-US" w:eastAsia="zh-CN"/>
        </w:rPr>
        <w:drawing>
          <wp:inline distT="0" distB="0" distL="114300" distR="114300">
            <wp:extent cx="5400040" cy="4050030"/>
            <wp:effectExtent l="0" t="0" r="10160" b="3810"/>
            <wp:docPr id="38" name="图片 38" descr="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010"/>
                    <pic:cNvPicPr>
                      <a:picLocks noChangeAspect="1"/>
                    </pic:cNvPicPr>
                  </pic:nvPicPr>
                  <pic:blipFill>
                    <a:blip r:embed="rId18"/>
                    <a:stretch>
                      <a:fillRect/>
                    </a:stretch>
                  </pic:blipFill>
                  <pic:spPr>
                    <a:xfrm>
                      <a:off x="0" y="0"/>
                      <a:ext cx="5400040" cy="4050030"/>
                    </a:xfrm>
                    <a:prstGeom prst="rect">
                      <a:avLst/>
                    </a:prstGeom>
                  </pic:spPr>
                </pic:pic>
              </a:graphicData>
            </a:graphic>
          </wp:inline>
        </w:drawing>
      </w:r>
    </w:p>
    <w:p w14:paraId="0BAB45B6">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加油机</w:t>
      </w:r>
    </w:p>
    <w:p w14:paraId="1DEEE18A">
      <w:pPr>
        <w:pStyle w:val="32"/>
        <w:bidi w:val="0"/>
        <w:ind w:firstLine="0"/>
        <w:rPr>
          <w:rFonts w:hint="eastAsia" w:ascii="宋体" w:hAnsi="宋体" w:eastAsia="宋体"/>
          <w:color w:val="auto"/>
          <w:szCs w:val="22"/>
          <w:highlight w:val="none"/>
          <w:lang w:val="en-US" w:eastAsia="zh-CN"/>
        </w:rPr>
      </w:pPr>
      <w:r>
        <w:rPr>
          <w:rFonts w:hint="eastAsia" w:ascii="宋体" w:hAnsi="宋体" w:eastAsia="宋体"/>
          <w:color w:val="auto"/>
          <w:szCs w:val="22"/>
          <w:highlight w:val="none"/>
          <w:lang w:val="en-US" w:eastAsia="zh-CN"/>
        </w:rPr>
        <w:drawing>
          <wp:inline distT="0" distB="0" distL="114300" distR="114300">
            <wp:extent cx="5400040" cy="4050030"/>
            <wp:effectExtent l="0" t="0" r="10160" b="3810"/>
            <wp:docPr id="39" name="图片 39" descr="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002"/>
                    <pic:cNvPicPr>
                      <a:picLocks noChangeAspect="1"/>
                    </pic:cNvPicPr>
                  </pic:nvPicPr>
                  <pic:blipFill>
                    <a:blip r:embed="rId19"/>
                    <a:stretch>
                      <a:fillRect/>
                    </a:stretch>
                  </pic:blipFill>
                  <pic:spPr>
                    <a:xfrm>
                      <a:off x="0" y="0"/>
                      <a:ext cx="5400040" cy="4050030"/>
                    </a:xfrm>
                    <a:prstGeom prst="rect">
                      <a:avLst/>
                    </a:prstGeom>
                  </pic:spPr>
                </pic:pic>
              </a:graphicData>
            </a:graphic>
          </wp:inline>
        </w:drawing>
      </w:r>
    </w:p>
    <w:p w14:paraId="32A571D3">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卸油口</w:t>
      </w:r>
    </w:p>
    <w:p w14:paraId="124F9DBB">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43" name="图片 43" descr="029卸油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029卸油区"/>
                    <pic:cNvPicPr>
                      <a:picLocks noChangeAspect="1"/>
                    </pic:cNvPicPr>
                  </pic:nvPicPr>
                  <pic:blipFill>
                    <a:blip r:embed="rId20"/>
                    <a:stretch>
                      <a:fillRect/>
                    </a:stretch>
                  </pic:blipFill>
                  <pic:spPr>
                    <a:xfrm>
                      <a:off x="0" y="0"/>
                      <a:ext cx="5400040" cy="4050030"/>
                    </a:xfrm>
                    <a:prstGeom prst="rect">
                      <a:avLst/>
                    </a:prstGeom>
                  </pic:spPr>
                </pic:pic>
              </a:graphicData>
            </a:graphic>
          </wp:inline>
        </w:drawing>
      </w:r>
    </w:p>
    <w:p w14:paraId="38DAFBCC">
      <w:pPr>
        <w:tabs>
          <w:tab w:val="left" w:pos="3265"/>
        </w:tabs>
        <w:ind w:left="0" w:leftChars="0" w:firstLine="0" w:firstLineChars="0"/>
        <w:jc w:val="center"/>
        <w:rPr>
          <w:rFonts w:hint="eastAsia" w:ascii="Calibri" w:hAnsi="Calibri"/>
          <w:color w:val="auto"/>
          <w:szCs w:val="28"/>
          <w:highlight w:val="none"/>
          <w:lang w:val="en-US" w:eastAsia="zh-CN"/>
        </w:rPr>
      </w:pPr>
      <w:r>
        <w:rPr>
          <w:rFonts w:hint="eastAsia" w:ascii="Calibri" w:hAnsi="Calibri"/>
          <w:color w:val="auto"/>
          <w:szCs w:val="28"/>
          <w:highlight w:val="none"/>
          <w:lang w:val="en-US" w:eastAsia="zh-CN"/>
        </w:rPr>
        <w:t>卸油区</w:t>
      </w:r>
    </w:p>
    <w:p w14:paraId="52F95818">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b/>
          <w:bCs/>
          <w:color w:val="auto"/>
          <w:sz w:val="21"/>
          <w:szCs w:val="21"/>
          <w:highlight w:val="none"/>
          <w:lang w:val="en-US" w:eastAsia="zh-CN"/>
        </w:rPr>
        <mc:AlternateContent>
          <mc:Choice Requires="wps">
            <w:drawing>
              <wp:anchor distT="0" distB="0" distL="114300" distR="114300" simplePos="0" relativeHeight="251666432" behindDoc="0" locked="0" layoutInCell="1" allowOverlap="1">
                <wp:simplePos x="0" y="0"/>
                <wp:positionH relativeFrom="column">
                  <wp:posOffset>972820</wp:posOffset>
                </wp:positionH>
                <wp:positionV relativeFrom="paragraph">
                  <wp:posOffset>1035685</wp:posOffset>
                </wp:positionV>
                <wp:extent cx="753745" cy="476250"/>
                <wp:effectExtent l="4445" t="4445" r="19050" b="448945"/>
                <wp:wrapNone/>
                <wp:docPr id="95" name="矩形标注 95"/>
                <wp:cNvGraphicFramePr/>
                <a:graphic xmlns:a="http://schemas.openxmlformats.org/drawingml/2006/main">
                  <a:graphicData uri="http://schemas.microsoft.com/office/word/2010/wordprocessingShape">
                    <wps:wsp>
                      <wps:cNvSpPr/>
                      <wps:spPr>
                        <a:xfrm>
                          <a:off x="0" y="0"/>
                          <a:ext cx="753745" cy="476250"/>
                        </a:xfrm>
                        <a:prstGeom prst="wedgeRectCallout">
                          <a:avLst>
                            <a:gd name="adj1" fmla="val -9898"/>
                            <a:gd name="adj2" fmla="val 139466"/>
                          </a:avLst>
                        </a:prstGeom>
                        <a:noFill/>
                        <a:ln w="9525" cap="flat" cmpd="sng">
                          <a:solidFill>
                            <a:srgbClr val="FF0000"/>
                          </a:solidFill>
                          <a:prstDash val="solid"/>
                          <a:miter/>
                          <a:headEnd type="none" w="med" len="med"/>
                          <a:tailEnd type="none" w="med" len="med"/>
                        </a:ln>
                      </wps:spPr>
                      <wps:txbx>
                        <w:txbxContent>
                          <w:p w14:paraId="6B43C774">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观察井</w:t>
                            </w:r>
                          </w:p>
                        </w:txbxContent>
                      </wps:txbx>
                      <wps:bodyPr upright="1"/>
                    </wps:wsp>
                  </a:graphicData>
                </a:graphic>
              </wp:anchor>
            </w:drawing>
          </mc:Choice>
          <mc:Fallback>
            <w:pict>
              <v:shape id="_x0000_s1026" o:spid="_x0000_s1026" o:spt="61" type="#_x0000_t61" style="position:absolute;left:0pt;margin-left:76.6pt;margin-top:81.55pt;height:37.5pt;width:59.35pt;z-index:251666432;mso-width-relative:page;mso-height-relative:page;" filled="f" stroked="t" coordsize="21600,21600" o:gfxdata="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UCOCf2gAAAAsBAAAPAAAAAAAAAAEAIAAAACIAAABkcnMvZG93bnJl&#10;di54bWxQSwECFAAUAAAACACHTuJAXBBaNjQCAABlBAAADgAAAAAAAAABACAAAAApAQAAZHJzL2Uy&#10;b0RvYy54bWxQSwUGAAAAAAYABgBZAQAAzwUAAAAA&#10;" adj="8662,40925">
                <v:fill on="f" focussize="0,0"/>
                <v:stroke color="#FF0000" joinstyle="miter"/>
                <v:imagedata o:title=""/>
                <o:lock v:ext="edit" aspectratio="f"/>
                <v:textbox>
                  <w:txbxContent>
                    <w:p w14:paraId="6B43C774">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观察井</w:t>
                      </w:r>
                    </w:p>
                  </w:txbxContent>
                </v:textbox>
              </v:shape>
            </w:pict>
          </mc:Fallback>
        </mc:AlternateContent>
      </w: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45" name="图片 45" descr="035油罐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035油罐区"/>
                    <pic:cNvPicPr>
                      <a:picLocks noChangeAspect="1"/>
                    </pic:cNvPicPr>
                  </pic:nvPicPr>
                  <pic:blipFill>
                    <a:blip r:embed="rId21"/>
                    <a:stretch>
                      <a:fillRect/>
                    </a:stretch>
                  </pic:blipFill>
                  <pic:spPr>
                    <a:xfrm>
                      <a:off x="0" y="0"/>
                      <a:ext cx="5400040" cy="4050030"/>
                    </a:xfrm>
                    <a:prstGeom prst="rect">
                      <a:avLst/>
                    </a:prstGeom>
                  </pic:spPr>
                </pic:pic>
              </a:graphicData>
            </a:graphic>
          </wp:inline>
        </w:drawing>
      </w:r>
    </w:p>
    <w:p w14:paraId="416B63DA">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油罐区</w:t>
      </w:r>
    </w:p>
    <w:p w14:paraId="59861F13">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53" name="图片 53" descr="031北面民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031北面民房"/>
                    <pic:cNvPicPr>
                      <a:picLocks noChangeAspect="1"/>
                    </pic:cNvPicPr>
                  </pic:nvPicPr>
                  <pic:blipFill>
                    <a:blip r:embed="rId22"/>
                    <a:stretch>
                      <a:fillRect/>
                    </a:stretch>
                  </pic:blipFill>
                  <pic:spPr>
                    <a:xfrm>
                      <a:off x="0" y="0"/>
                      <a:ext cx="5400040" cy="4050030"/>
                    </a:xfrm>
                    <a:prstGeom prst="rect">
                      <a:avLst/>
                    </a:prstGeom>
                  </pic:spPr>
                </pic:pic>
              </a:graphicData>
            </a:graphic>
          </wp:inline>
        </w:drawing>
      </w:r>
    </w:p>
    <w:p w14:paraId="2D7DF8F2">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北面民房</w:t>
      </w:r>
    </w:p>
    <w:p w14:paraId="5C1B9DFC">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55" name="图片 55" descr="026西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026西面"/>
                    <pic:cNvPicPr>
                      <a:picLocks noChangeAspect="1"/>
                    </pic:cNvPicPr>
                  </pic:nvPicPr>
                  <pic:blipFill>
                    <a:blip r:embed="rId23"/>
                    <a:stretch>
                      <a:fillRect/>
                    </a:stretch>
                  </pic:blipFill>
                  <pic:spPr>
                    <a:xfrm>
                      <a:off x="0" y="0"/>
                      <a:ext cx="5400040" cy="4050030"/>
                    </a:xfrm>
                    <a:prstGeom prst="rect">
                      <a:avLst/>
                    </a:prstGeom>
                  </pic:spPr>
                </pic:pic>
              </a:graphicData>
            </a:graphic>
          </wp:inline>
        </w:drawing>
      </w:r>
    </w:p>
    <w:p w14:paraId="266CEC0C">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西面公路及民房</w:t>
      </w:r>
    </w:p>
    <w:p w14:paraId="5CC97F07">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56" name="图片 56" descr="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020"/>
                    <pic:cNvPicPr>
                      <a:picLocks noChangeAspect="1"/>
                    </pic:cNvPicPr>
                  </pic:nvPicPr>
                  <pic:blipFill>
                    <a:blip r:embed="rId24"/>
                    <a:stretch>
                      <a:fillRect/>
                    </a:stretch>
                  </pic:blipFill>
                  <pic:spPr>
                    <a:xfrm>
                      <a:off x="0" y="0"/>
                      <a:ext cx="5400040" cy="4050030"/>
                    </a:xfrm>
                    <a:prstGeom prst="rect">
                      <a:avLst/>
                    </a:prstGeom>
                  </pic:spPr>
                </pic:pic>
              </a:graphicData>
            </a:graphic>
          </wp:inline>
        </w:drawing>
      </w:r>
    </w:p>
    <w:p w14:paraId="0E8816FE">
      <w:pPr>
        <w:tabs>
          <w:tab w:val="left" w:pos="3265"/>
        </w:tabs>
        <w:ind w:left="0" w:leftChars="0" w:firstLine="0" w:firstLineChars="0"/>
        <w:jc w:val="center"/>
        <w:rPr>
          <w:rFonts w:hint="eastAsia" w:ascii="Calibri" w:hAnsi="Calibri"/>
          <w:color w:val="auto"/>
          <w:szCs w:val="28"/>
          <w:highlight w:val="none"/>
          <w:lang w:val="en-US" w:eastAsia="zh-CN"/>
        </w:rPr>
      </w:pPr>
      <w:r>
        <w:rPr>
          <w:rFonts w:hint="eastAsia" w:ascii="Calibri" w:hAnsi="Calibri"/>
          <w:color w:val="auto"/>
          <w:szCs w:val="28"/>
          <w:highlight w:val="none"/>
          <w:lang w:val="en-US" w:eastAsia="zh-CN"/>
        </w:rPr>
        <w:t>南面站内洗车机</w:t>
      </w:r>
    </w:p>
    <w:p w14:paraId="436B93FC">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b/>
          <w:bCs/>
          <w:color w:val="auto"/>
          <w:sz w:val="21"/>
          <w:szCs w:val="21"/>
          <w:highlight w:val="none"/>
          <w:lang w:val="en-US" w:eastAsia="zh-CN"/>
        </w:rPr>
        <mc:AlternateContent>
          <mc:Choice Requires="wps">
            <w:drawing>
              <wp:anchor distT="0" distB="0" distL="114300" distR="114300" simplePos="0" relativeHeight="251668480" behindDoc="0" locked="0" layoutInCell="1" allowOverlap="1">
                <wp:simplePos x="0" y="0"/>
                <wp:positionH relativeFrom="column">
                  <wp:posOffset>903605</wp:posOffset>
                </wp:positionH>
                <wp:positionV relativeFrom="paragraph">
                  <wp:posOffset>807085</wp:posOffset>
                </wp:positionV>
                <wp:extent cx="1113790" cy="476250"/>
                <wp:effectExtent l="4445" t="4445" r="9525" b="814705"/>
                <wp:wrapNone/>
                <wp:docPr id="59" name="矩形标注 59"/>
                <wp:cNvGraphicFramePr/>
                <a:graphic xmlns:a="http://schemas.openxmlformats.org/drawingml/2006/main">
                  <a:graphicData uri="http://schemas.microsoft.com/office/word/2010/wordprocessingShape">
                    <wps:wsp>
                      <wps:cNvSpPr/>
                      <wps:spPr>
                        <a:xfrm>
                          <a:off x="0" y="0"/>
                          <a:ext cx="1113790" cy="476250"/>
                        </a:xfrm>
                        <a:prstGeom prst="wedgeRectCallout">
                          <a:avLst>
                            <a:gd name="adj1" fmla="val -2451"/>
                            <a:gd name="adj2" fmla="val 212133"/>
                          </a:avLst>
                        </a:prstGeom>
                        <a:noFill/>
                        <a:ln w="9525" cap="flat" cmpd="sng">
                          <a:solidFill>
                            <a:srgbClr val="FF0000"/>
                          </a:solidFill>
                          <a:prstDash val="solid"/>
                          <a:miter/>
                          <a:headEnd type="none" w="med" len="med"/>
                          <a:tailEnd type="none" w="med" len="med"/>
                        </a:ln>
                      </wps:spPr>
                      <wps:txbx>
                        <w:txbxContent>
                          <w:p w14:paraId="40717FAF">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站内卫生间</w:t>
                            </w:r>
                          </w:p>
                        </w:txbxContent>
                      </wps:txbx>
                      <wps:bodyPr upright="1"/>
                    </wps:wsp>
                  </a:graphicData>
                </a:graphic>
              </wp:anchor>
            </w:drawing>
          </mc:Choice>
          <mc:Fallback>
            <w:pict>
              <v:shape id="_x0000_s1026" o:spid="_x0000_s1026" o:spt="61" type="#_x0000_t61" style="position:absolute;left:0pt;margin-left:71.15pt;margin-top:63.55pt;height:37.5pt;width:87.7pt;z-index:251668480;mso-width-relative:page;mso-height-relative:page;" filled="f" stroked="t" coordsize="21600,21600" o:gfxdata="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bFK9l2gAAAAsBAAAPAAAAAAAAAAEAIAAAACIAAABkcnMvZG93&#10;bnJldi54bWxQSwECFAAUAAAACACHTuJAp5PjlDcCAABmBAAADgAAAAAAAAABACAAAAApAQAAZHJz&#10;L2Uyb0RvYy54bWxQSwUGAAAAAAYABgBZAQAA0gUAAAAA&#10;" adj="10271,56621">
                <v:fill on="f" focussize="0,0"/>
                <v:stroke color="#FF0000" joinstyle="miter"/>
                <v:imagedata o:title=""/>
                <o:lock v:ext="edit" aspectratio="f"/>
                <v:textbox>
                  <w:txbxContent>
                    <w:p w14:paraId="40717FAF">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站内卫生间</w:t>
                      </w:r>
                    </w:p>
                  </w:txbxContent>
                </v:textbox>
              </v:shape>
            </w:pict>
          </mc:Fallback>
        </mc:AlternateContent>
      </w: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58" name="图片 58" descr="027南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027南面"/>
                    <pic:cNvPicPr>
                      <a:picLocks noChangeAspect="1"/>
                    </pic:cNvPicPr>
                  </pic:nvPicPr>
                  <pic:blipFill>
                    <a:blip r:embed="rId25"/>
                    <a:stretch>
                      <a:fillRect/>
                    </a:stretch>
                  </pic:blipFill>
                  <pic:spPr>
                    <a:xfrm>
                      <a:off x="0" y="0"/>
                      <a:ext cx="5400040" cy="4050030"/>
                    </a:xfrm>
                    <a:prstGeom prst="rect">
                      <a:avLst/>
                    </a:prstGeom>
                  </pic:spPr>
                </pic:pic>
              </a:graphicData>
            </a:graphic>
          </wp:inline>
        </w:drawing>
      </w:r>
    </w:p>
    <w:p w14:paraId="40A9D188">
      <w:pPr>
        <w:tabs>
          <w:tab w:val="left" w:pos="3265"/>
        </w:tabs>
        <w:ind w:left="0" w:leftChars="0" w:firstLine="0" w:firstLineChars="0"/>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南面民房及站内卫生间</w:t>
      </w:r>
    </w:p>
    <w:p w14:paraId="451ED82C">
      <w:pPr>
        <w:tabs>
          <w:tab w:val="left" w:pos="3265"/>
        </w:tabs>
        <w:spacing w:line="240" w:lineRule="auto"/>
        <w:ind w:left="0" w:leftChars="0" w:firstLine="0" w:firstLineChars="0"/>
        <w:jc w:val="center"/>
        <w:rPr>
          <w:rFonts w:hint="eastAsia" w:ascii="Calibri" w:hAnsi="Calibri" w:eastAsia="宋体" w:cs="宋体"/>
          <w:color w:val="auto"/>
          <w:szCs w:val="28"/>
          <w:highlight w:val="none"/>
          <w:lang w:val="en-US" w:eastAsia="zh-CN"/>
        </w:rPr>
      </w:pPr>
      <w:r>
        <w:rPr>
          <w:rFonts w:hint="eastAsia"/>
          <w:b/>
          <w:bCs/>
          <w:color w:val="auto"/>
          <w:sz w:val="21"/>
          <w:szCs w:val="21"/>
          <w:highlight w:val="none"/>
          <w:lang w:val="en-US" w:eastAsia="zh-CN"/>
        </w:rPr>
        <mc:AlternateContent>
          <mc:Choice Requires="wps">
            <w:drawing>
              <wp:anchor distT="0" distB="0" distL="114300" distR="114300" simplePos="0" relativeHeight="251672576" behindDoc="0" locked="0" layoutInCell="1" allowOverlap="1">
                <wp:simplePos x="0" y="0"/>
                <wp:positionH relativeFrom="column">
                  <wp:posOffset>3300730</wp:posOffset>
                </wp:positionH>
                <wp:positionV relativeFrom="paragraph">
                  <wp:posOffset>550545</wp:posOffset>
                </wp:positionV>
                <wp:extent cx="802005" cy="476250"/>
                <wp:effectExtent l="4445" t="4445" r="16510" b="723265"/>
                <wp:wrapNone/>
                <wp:docPr id="64" name="矩形标注 64"/>
                <wp:cNvGraphicFramePr/>
                <a:graphic xmlns:a="http://schemas.openxmlformats.org/drawingml/2006/main">
                  <a:graphicData uri="http://schemas.microsoft.com/office/word/2010/wordprocessingShape">
                    <wps:wsp>
                      <wps:cNvSpPr/>
                      <wps:spPr>
                        <a:xfrm>
                          <a:off x="0" y="0"/>
                          <a:ext cx="802005" cy="476250"/>
                        </a:xfrm>
                        <a:prstGeom prst="wedgeRectCallout">
                          <a:avLst>
                            <a:gd name="adj1" fmla="val -9303"/>
                            <a:gd name="adj2" fmla="val 194800"/>
                          </a:avLst>
                        </a:prstGeom>
                        <a:noFill/>
                        <a:ln w="9525" cap="flat" cmpd="sng">
                          <a:solidFill>
                            <a:srgbClr val="FF0000"/>
                          </a:solidFill>
                          <a:prstDash val="solid"/>
                          <a:miter/>
                          <a:headEnd type="none" w="med" len="med"/>
                          <a:tailEnd type="none" w="med" len="med"/>
                        </a:ln>
                      </wps:spPr>
                      <wps:txbx>
                        <w:txbxContent>
                          <w:p w14:paraId="6EB00EC4">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洗浴间</w:t>
                            </w:r>
                          </w:p>
                        </w:txbxContent>
                      </wps:txbx>
                      <wps:bodyPr upright="1"/>
                    </wps:wsp>
                  </a:graphicData>
                </a:graphic>
              </wp:anchor>
            </w:drawing>
          </mc:Choice>
          <mc:Fallback>
            <w:pict>
              <v:shape id="_x0000_s1026" o:spid="_x0000_s1026" o:spt="61" type="#_x0000_t61" style="position:absolute;left:0pt;margin-left:259.9pt;margin-top:43.35pt;height:37.5pt;width:63.15pt;z-index:251672576;mso-width-relative:page;mso-height-relative:page;" filled="f" stroked="t" coordsize="21600,21600" o:gfxdata="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FjJps1AAAAAoBAAAPAAAAAAAAAAEAIAAAACIAAABkcnMvZG93bnJldi54&#10;bWxQSwECFAAUAAAACACHTuJAoDjOQjcCAABlBAAADgAAAAAAAAABACAAAAAjAQAAZHJzL2Uyb0Rv&#10;Yy54bWxQSwUGAAAAAAYABgBZAQAAzAUAAAAA&#10;" adj="8791,52877">
                <v:fill on="f" focussize="0,0"/>
                <v:stroke color="#FF0000" joinstyle="miter"/>
                <v:imagedata o:title=""/>
                <o:lock v:ext="edit" aspectratio="f"/>
                <v:textbox>
                  <w:txbxContent>
                    <w:p w14:paraId="6EB00EC4">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洗浴间</w:t>
                      </w:r>
                    </w:p>
                  </w:txbxContent>
                </v:textbox>
              </v:shape>
            </w:pict>
          </mc:Fallback>
        </mc:AlternateContent>
      </w:r>
      <w:r>
        <w:rPr>
          <w:rFonts w:hint="eastAsia"/>
          <w:b/>
          <w:bCs/>
          <w:color w:val="auto"/>
          <w:sz w:val="21"/>
          <w:szCs w:val="21"/>
          <w:highlight w:val="none"/>
          <w:lang w:val="en-US" w:eastAsia="zh-CN"/>
        </w:rPr>
        <mc:AlternateContent>
          <mc:Choice Requires="wps">
            <w:drawing>
              <wp:anchor distT="0" distB="0" distL="114300" distR="114300" simplePos="0" relativeHeight="251671552" behindDoc="0" locked="0" layoutInCell="1" allowOverlap="1">
                <wp:simplePos x="0" y="0"/>
                <wp:positionH relativeFrom="column">
                  <wp:posOffset>4187825</wp:posOffset>
                </wp:positionH>
                <wp:positionV relativeFrom="paragraph">
                  <wp:posOffset>412115</wp:posOffset>
                </wp:positionV>
                <wp:extent cx="802005" cy="476250"/>
                <wp:effectExtent l="4445" t="4445" r="16510" b="784225"/>
                <wp:wrapNone/>
                <wp:docPr id="63" name="矩形标注 63"/>
                <wp:cNvGraphicFramePr/>
                <a:graphic xmlns:a="http://schemas.openxmlformats.org/drawingml/2006/main">
                  <a:graphicData uri="http://schemas.microsoft.com/office/word/2010/wordprocessingShape">
                    <wps:wsp>
                      <wps:cNvSpPr/>
                      <wps:spPr>
                        <a:xfrm>
                          <a:off x="0" y="0"/>
                          <a:ext cx="802005" cy="476250"/>
                        </a:xfrm>
                        <a:prstGeom prst="wedgeRectCallout">
                          <a:avLst>
                            <a:gd name="adj1" fmla="val 14845"/>
                            <a:gd name="adj2" fmla="val 206400"/>
                          </a:avLst>
                        </a:prstGeom>
                        <a:noFill/>
                        <a:ln w="9525" cap="flat" cmpd="sng">
                          <a:solidFill>
                            <a:srgbClr val="FF0000"/>
                          </a:solidFill>
                          <a:prstDash val="solid"/>
                          <a:miter/>
                          <a:headEnd type="none" w="med" len="med"/>
                          <a:tailEnd type="none" w="med" len="med"/>
                        </a:ln>
                      </wps:spPr>
                      <wps:txbx>
                        <w:txbxContent>
                          <w:p w14:paraId="7A7E436D">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厨房</w:t>
                            </w:r>
                          </w:p>
                        </w:txbxContent>
                      </wps:txbx>
                      <wps:bodyPr upright="1"/>
                    </wps:wsp>
                  </a:graphicData>
                </a:graphic>
              </wp:anchor>
            </w:drawing>
          </mc:Choice>
          <mc:Fallback>
            <w:pict>
              <v:shape id="_x0000_s1026" o:spid="_x0000_s1026" o:spt="61" type="#_x0000_t61" style="position:absolute;left:0pt;margin-left:329.75pt;margin-top:32.45pt;height:37.5pt;width:63.15pt;z-index:251671552;mso-width-relative:page;mso-height-relative:page;" filled="f" stroked="t" coordsize="21600,21600" o:gfxdata="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VspvV2AAAAAoBAAAPAAAAAAAAAAEAIAAAACIAAABkcnMvZG93bnJl&#10;di54bWxQSwECFAAUAAAACACHTuJA7hdVIjYCAABlBAAADgAAAAAAAAABACAAAAAnAQAAZHJzL2Uy&#10;b0RvYy54bWxQSwUGAAAAAAYABgBZAQAAzwUAAAAA&#10;" adj="14007,55382">
                <v:fill on="f" focussize="0,0"/>
                <v:stroke color="#FF0000" joinstyle="miter"/>
                <v:imagedata o:title=""/>
                <o:lock v:ext="edit" aspectratio="f"/>
                <v:textbox>
                  <w:txbxContent>
                    <w:p w14:paraId="7A7E436D">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厨房</w:t>
                      </w:r>
                    </w:p>
                  </w:txbxContent>
                </v:textbox>
              </v:shape>
            </w:pict>
          </mc:Fallback>
        </mc:AlternateContent>
      </w:r>
      <w:r>
        <w:rPr>
          <w:rFonts w:hint="eastAsia"/>
          <w:b/>
          <w:bCs/>
          <w:color w:val="auto"/>
          <w:sz w:val="21"/>
          <w:szCs w:val="21"/>
          <w:highlight w:val="none"/>
          <w:lang w:val="en-US" w:eastAsia="zh-CN"/>
        </w:rPr>
        <mc:AlternateContent>
          <mc:Choice Requires="wps">
            <w:drawing>
              <wp:anchor distT="0" distB="0" distL="114300" distR="114300" simplePos="0" relativeHeight="251670528" behindDoc="0" locked="0" layoutInCell="1" allowOverlap="1">
                <wp:simplePos x="0" y="0"/>
                <wp:positionH relativeFrom="column">
                  <wp:posOffset>2310130</wp:posOffset>
                </wp:positionH>
                <wp:positionV relativeFrom="paragraph">
                  <wp:posOffset>398145</wp:posOffset>
                </wp:positionV>
                <wp:extent cx="906145" cy="476250"/>
                <wp:effectExtent l="4445" t="5080" r="19050" b="783590"/>
                <wp:wrapNone/>
                <wp:docPr id="62" name="矩形标注 62"/>
                <wp:cNvGraphicFramePr/>
                <a:graphic xmlns:a="http://schemas.openxmlformats.org/drawingml/2006/main">
                  <a:graphicData uri="http://schemas.microsoft.com/office/word/2010/wordprocessingShape">
                    <wps:wsp>
                      <wps:cNvSpPr/>
                      <wps:spPr>
                        <a:xfrm>
                          <a:off x="0" y="0"/>
                          <a:ext cx="906145" cy="476250"/>
                        </a:xfrm>
                        <a:prstGeom prst="wedgeRectCallout">
                          <a:avLst>
                            <a:gd name="adj1" fmla="val 14845"/>
                            <a:gd name="adj2" fmla="val 206400"/>
                          </a:avLst>
                        </a:prstGeom>
                        <a:noFill/>
                        <a:ln w="9525" cap="flat" cmpd="sng">
                          <a:solidFill>
                            <a:srgbClr val="FF0000"/>
                          </a:solidFill>
                          <a:prstDash val="solid"/>
                          <a:miter/>
                          <a:headEnd type="none" w="med" len="med"/>
                          <a:tailEnd type="none" w="med" len="med"/>
                        </a:ln>
                      </wps:spPr>
                      <wps:txbx>
                        <w:txbxContent>
                          <w:p w14:paraId="7A1F0735">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发电机房</w:t>
                            </w:r>
                          </w:p>
                        </w:txbxContent>
                      </wps:txbx>
                      <wps:bodyPr upright="1"/>
                    </wps:wsp>
                  </a:graphicData>
                </a:graphic>
              </wp:anchor>
            </w:drawing>
          </mc:Choice>
          <mc:Fallback>
            <w:pict>
              <v:shape id="_x0000_s1026" o:spid="_x0000_s1026" o:spt="61" type="#_x0000_t61" style="position:absolute;left:0pt;margin-left:181.9pt;margin-top:31.35pt;height:37.5pt;width:71.35pt;z-index:251670528;mso-width-relative:page;mso-height-relative:page;" filled="f" stroked="t" coordsize="21600,21600" o:gfxdata="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OrbrYAAAACgEAAA8AAAAAAAAAAQAgAAAAIgAAAGRycy9kb3ducmV2&#10;LnhtbFBLAQIUABQAAAAIAIdO4kBR+rSnNQIAAGUEAAAOAAAAAAAAAAEAIAAAACcBAABkcnMvZTJv&#10;RG9jLnhtbFBLBQYAAAAABgAGAFkBAADOBQAAAAA=&#10;" adj="14007,55382">
                <v:fill on="f" focussize="0,0"/>
                <v:stroke color="#FF0000" joinstyle="miter"/>
                <v:imagedata o:title=""/>
                <o:lock v:ext="edit" aspectratio="f"/>
                <v:textbox>
                  <w:txbxContent>
                    <w:p w14:paraId="7A1F0735">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发电机房</w:t>
                      </w:r>
                    </w:p>
                  </w:txbxContent>
                </v:textbox>
              </v:shape>
            </w:pict>
          </mc:Fallback>
        </mc:AlternateContent>
      </w:r>
      <w:r>
        <w:rPr>
          <w:rFonts w:hint="eastAsia"/>
          <w:b/>
          <w:bCs/>
          <w:color w:val="auto"/>
          <w:sz w:val="21"/>
          <w:szCs w:val="21"/>
          <w:highlight w:val="none"/>
          <w:lang w:val="en-US" w:eastAsia="zh-CN"/>
        </w:rPr>
        <mc:AlternateContent>
          <mc:Choice Requires="wps">
            <w:drawing>
              <wp:anchor distT="0" distB="0" distL="114300" distR="114300" simplePos="0" relativeHeight="251669504" behindDoc="0" locked="0" layoutInCell="1" allowOverlap="1">
                <wp:simplePos x="0" y="0"/>
                <wp:positionH relativeFrom="column">
                  <wp:posOffset>1250315</wp:posOffset>
                </wp:positionH>
                <wp:positionV relativeFrom="paragraph">
                  <wp:posOffset>391160</wp:posOffset>
                </wp:positionV>
                <wp:extent cx="802005" cy="476250"/>
                <wp:effectExtent l="4445" t="4445" r="16510" b="784225"/>
                <wp:wrapNone/>
                <wp:docPr id="61" name="矩形标注 61"/>
                <wp:cNvGraphicFramePr/>
                <a:graphic xmlns:a="http://schemas.openxmlformats.org/drawingml/2006/main">
                  <a:graphicData uri="http://schemas.microsoft.com/office/word/2010/wordprocessingShape">
                    <wps:wsp>
                      <wps:cNvSpPr/>
                      <wps:spPr>
                        <a:xfrm>
                          <a:off x="0" y="0"/>
                          <a:ext cx="802005" cy="476250"/>
                        </a:xfrm>
                        <a:prstGeom prst="wedgeRectCallout">
                          <a:avLst>
                            <a:gd name="adj1" fmla="val 14845"/>
                            <a:gd name="adj2" fmla="val 206400"/>
                          </a:avLst>
                        </a:prstGeom>
                        <a:noFill/>
                        <a:ln w="9525" cap="flat" cmpd="sng">
                          <a:solidFill>
                            <a:srgbClr val="FF0000"/>
                          </a:solidFill>
                          <a:prstDash val="solid"/>
                          <a:miter/>
                          <a:headEnd type="none" w="med" len="med"/>
                          <a:tailEnd type="none" w="med" len="med"/>
                        </a:ln>
                      </wps:spPr>
                      <wps:txbx>
                        <w:txbxContent>
                          <w:p w14:paraId="5AE63115">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配电房</w:t>
                            </w:r>
                          </w:p>
                        </w:txbxContent>
                      </wps:txbx>
                      <wps:bodyPr upright="1"/>
                    </wps:wsp>
                  </a:graphicData>
                </a:graphic>
              </wp:anchor>
            </w:drawing>
          </mc:Choice>
          <mc:Fallback>
            <w:pict>
              <v:shape id="_x0000_s1026" o:spid="_x0000_s1026" o:spt="61" type="#_x0000_t61" style="position:absolute;left:0pt;margin-left:98.45pt;margin-top:30.8pt;height:37.5pt;width:63.15pt;z-index:251669504;mso-width-relative:page;mso-height-relative:page;" filled="f" stroked="t" coordsize="21600,21600" o:gfxdata="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xPZ4Q1wAAAAoBAAAPAAAAAAAAAAEAIAAAACIAAABkcnMvZG93bnJldi54&#10;bWxQSwECFAAUAAAACACHTuJAhZ7AtTQCAABlBAAADgAAAAAAAAABACAAAAAmAQAAZHJzL2Uyb0Rv&#10;Yy54bWxQSwUGAAAAAAYABgBZAQAAzAUAAAAA&#10;" adj="14007,55382">
                <v:fill on="f" focussize="0,0"/>
                <v:stroke color="#FF0000" joinstyle="miter"/>
                <v:imagedata o:title=""/>
                <o:lock v:ext="edit" aspectratio="f"/>
                <v:textbox>
                  <w:txbxContent>
                    <w:p w14:paraId="5AE63115">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配电房</w:t>
                      </w:r>
                    </w:p>
                  </w:txbxContent>
                </v:textbox>
              </v:shape>
            </w:pict>
          </mc:Fallback>
        </mc:AlternateContent>
      </w:r>
      <w:r>
        <w:rPr>
          <w:rFonts w:hint="eastAsia" w:ascii="Calibri" w:hAnsi="Calibri" w:eastAsia="宋体" w:cs="宋体"/>
          <w:color w:val="auto"/>
          <w:szCs w:val="28"/>
          <w:highlight w:val="none"/>
          <w:lang w:val="en-US" w:eastAsia="zh-CN"/>
        </w:rPr>
        <w:drawing>
          <wp:inline distT="0" distB="0" distL="114300" distR="114300">
            <wp:extent cx="5400040" cy="4050030"/>
            <wp:effectExtent l="0" t="0" r="10160" b="3810"/>
            <wp:docPr id="57" name="图片 57"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008"/>
                    <pic:cNvPicPr>
                      <a:picLocks noChangeAspect="1"/>
                    </pic:cNvPicPr>
                  </pic:nvPicPr>
                  <pic:blipFill>
                    <a:blip r:embed="rId26"/>
                    <a:stretch>
                      <a:fillRect/>
                    </a:stretch>
                  </pic:blipFill>
                  <pic:spPr>
                    <a:xfrm>
                      <a:off x="0" y="0"/>
                      <a:ext cx="5400040" cy="4050030"/>
                    </a:xfrm>
                    <a:prstGeom prst="rect">
                      <a:avLst/>
                    </a:prstGeom>
                  </pic:spPr>
                </pic:pic>
              </a:graphicData>
            </a:graphic>
          </wp:inline>
        </w:drawing>
      </w:r>
    </w:p>
    <w:p w14:paraId="4516E9D4">
      <w:pPr>
        <w:tabs>
          <w:tab w:val="left" w:pos="3265"/>
        </w:tabs>
        <w:ind w:left="0" w:leftChars="0" w:firstLine="0" w:firstLineChars="0"/>
        <w:jc w:val="center"/>
        <w:rPr>
          <w:rFonts w:hint="default" w:ascii="Calibri" w:hAnsi="Calibri" w:eastAsia="宋体" w:cs="宋体"/>
          <w:color w:val="auto"/>
          <w:szCs w:val="28"/>
          <w:highlight w:val="none"/>
          <w:lang w:val="en-US" w:eastAsia="zh-CN"/>
        </w:rPr>
      </w:pPr>
      <w:r>
        <w:rPr>
          <w:rFonts w:hint="eastAsia" w:ascii="Calibri" w:hAnsi="Calibri" w:eastAsia="宋体" w:cs="宋体"/>
          <w:color w:val="auto"/>
          <w:szCs w:val="28"/>
          <w:highlight w:val="none"/>
          <w:lang w:val="en-US" w:eastAsia="zh-CN"/>
        </w:rPr>
        <w:t>东面站内辅房</w:t>
      </w:r>
    </w:p>
    <w:p w14:paraId="0DD2FEC3">
      <w:pPr>
        <w:tabs>
          <w:tab w:val="left" w:pos="3265"/>
        </w:tabs>
        <w:spacing w:line="240" w:lineRule="auto"/>
        <w:ind w:left="0" w:leftChars="0" w:firstLine="0" w:firstLineChars="0"/>
        <w:jc w:val="center"/>
        <w:rPr>
          <w:rFonts w:hint="eastAsia" w:ascii="Calibri" w:hAnsi="Calibri" w:eastAsia="宋体"/>
          <w:color w:val="auto"/>
          <w:szCs w:val="28"/>
          <w:highlight w:val="none"/>
          <w:lang w:val="en-US" w:eastAsia="zh-CN"/>
        </w:rPr>
      </w:pPr>
      <w:r>
        <w:rPr>
          <w:rFonts w:hint="eastAsia" w:ascii="Calibri" w:hAnsi="Calibri" w:eastAsia="宋体"/>
          <w:color w:val="auto"/>
          <w:szCs w:val="28"/>
          <w:highlight w:val="none"/>
          <w:lang w:val="en-US" w:eastAsia="zh-CN"/>
        </w:rPr>
        <w:drawing>
          <wp:inline distT="0" distB="0" distL="114300" distR="114300">
            <wp:extent cx="5400040" cy="4050030"/>
            <wp:effectExtent l="0" t="0" r="10160" b="3810"/>
            <wp:docPr id="60" name="图片 60" descr="030东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030东面"/>
                    <pic:cNvPicPr>
                      <a:picLocks noChangeAspect="1"/>
                    </pic:cNvPicPr>
                  </pic:nvPicPr>
                  <pic:blipFill>
                    <a:blip r:embed="rId27"/>
                    <a:stretch>
                      <a:fillRect/>
                    </a:stretch>
                  </pic:blipFill>
                  <pic:spPr>
                    <a:xfrm>
                      <a:off x="0" y="0"/>
                      <a:ext cx="5400040" cy="4050030"/>
                    </a:xfrm>
                    <a:prstGeom prst="rect">
                      <a:avLst/>
                    </a:prstGeom>
                  </pic:spPr>
                </pic:pic>
              </a:graphicData>
            </a:graphic>
          </wp:inline>
        </w:drawing>
      </w:r>
    </w:p>
    <w:p w14:paraId="52361654">
      <w:pPr>
        <w:tabs>
          <w:tab w:val="left" w:pos="3265"/>
        </w:tabs>
        <w:jc w:val="center"/>
        <w:rPr>
          <w:rFonts w:hint="default" w:ascii="Calibri" w:hAnsi="Calibri"/>
          <w:color w:val="auto"/>
          <w:szCs w:val="28"/>
          <w:highlight w:val="none"/>
          <w:lang w:val="en-US" w:eastAsia="zh-CN"/>
        </w:rPr>
      </w:pPr>
      <w:r>
        <w:rPr>
          <w:rFonts w:hint="eastAsia" w:ascii="Calibri" w:hAnsi="Calibri"/>
          <w:color w:val="auto"/>
          <w:szCs w:val="28"/>
          <w:highlight w:val="none"/>
          <w:lang w:val="en-US" w:eastAsia="zh-CN"/>
        </w:rPr>
        <w:t>东面民房</w:t>
      </w:r>
    </w:p>
    <w:p w14:paraId="7A88F815">
      <w:pPr>
        <w:tabs>
          <w:tab w:val="left" w:pos="3265"/>
        </w:tabs>
        <w:jc w:val="center"/>
        <w:rPr>
          <w:rFonts w:hint="eastAsia" w:ascii="Calibri" w:hAnsi="Calibri"/>
          <w:color w:val="auto"/>
          <w:szCs w:val="28"/>
          <w:highlight w:val="none"/>
          <w:lang w:val="en-US" w:eastAsia="zh-CN"/>
        </w:rPr>
      </w:pPr>
    </w:p>
    <w:p w14:paraId="39CA209F">
      <w:pPr>
        <w:tabs>
          <w:tab w:val="left" w:pos="3265"/>
        </w:tabs>
        <w:jc w:val="center"/>
        <w:rPr>
          <w:rFonts w:hint="eastAsia" w:ascii="Calibri" w:hAnsi="Calibri"/>
          <w:color w:val="auto"/>
          <w:szCs w:val="28"/>
          <w:highlight w:val="none"/>
          <w:lang w:val="en-US" w:eastAsia="zh-CN"/>
        </w:rPr>
      </w:pPr>
    </w:p>
    <w:p w14:paraId="0D3F54C1">
      <w:pPr>
        <w:tabs>
          <w:tab w:val="left" w:pos="3265"/>
        </w:tabs>
        <w:jc w:val="center"/>
        <w:rPr>
          <w:rFonts w:hint="eastAsia"/>
          <w:color w:val="auto"/>
          <w:highlight w:val="none"/>
          <w:lang w:val="en-US" w:eastAsia="zh-CN"/>
        </w:rPr>
      </w:pPr>
      <w:r>
        <w:rPr>
          <w:rFonts w:hint="eastAsia"/>
          <w:color w:val="auto"/>
          <w:highlight w:val="none"/>
          <w:lang w:val="en-US" w:eastAsia="zh-CN"/>
        </w:rPr>
        <w:br w:type="page"/>
      </w:r>
    </w:p>
    <w:tbl>
      <w:tblPr>
        <w:tblStyle w:val="33"/>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0"/>
        <w:gridCol w:w="4701"/>
      </w:tblGrid>
      <w:tr w14:paraId="2A649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8" w:hRule="atLeast"/>
          <w:jc w:val="center"/>
        </w:trPr>
        <w:tc>
          <w:tcPr>
            <w:tcW w:w="4700" w:type="dxa"/>
            <w:noWrap w:val="0"/>
            <w:vAlign w:val="top"/>
          </w:tcPr>
          <w:p w14:paraId="2A986465">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eastAsia="宋体"/>
                <w:b/>
                <w:bCs/>
                <w:color w:val="auto"/>
                <w:sz w:val="21"/>
                <w:szCs w:val="21"/>
                <w:highlight w:val="none"/>
                <w:lang w:val="en-US" w:eastAsia="zh-CN"/>
              </w:rPr>
            </w:pPr>
            <w:r>
              <w:rPr>
                <w:rFonts w:hint="eastAsia"/>
                <w:b/>
                <w:bCs/>
                <w:color w:val="auto"/>
                <w:sz w:val="21"/>
                <w:szCs w:val="21"/>
                <w:highlight w:val="none"/>
              </w:rPr>
              <w:t>油罐人孔操作井</w:t>
            </w:r>
          </w:p>
          <w:p w14:paraId="0E9D526F">
            <w:pPr>
              <w:pStyle w:val="39"/>
              <w:keepNext w:val="0"/>
              <w:keepLines w:val="0"/>
              <w:pageBreakBefore w:val="0"/>
              <w:widowControl w:val="0"/>
              <w:kinsoku/>
              <w:wordWrap/>
              <w:overflowPunct/>
              <w:topLinePunct w:val="0"/>
              <w:bidi w:val="0"/>
              <w:snapToGrid/>
              <w:spacing w:line="240" w:lineRule="auto"/>
              <w:ind w:firstLine="0" w:firstLineChars="0"/>
              <w:jc w:val="both"/>
              <w:textAlignment w:val="auto"/>
              <w:rPr>
                <w:rFonts w:hint="eastAsia" w:eastAsia="..ì."/>
                <w:b/>
                <w:bCs/>
                <w:color w:val="auto"/>
                <w:szCs w:val="21"/>
                <w:highlight w:val="none"/>
                <w:lang w:eastAsia="zh-CN"/>
              </w:rPr>
            </w:pPr>
            <w:r>
              <w:rPr>
                <w:rFonts w:hint="eastAsia" w:eastAsia="..ì."/>
                <w:b/>
                <w:bCs/>
                <w:color w:val="auto"/>
                <w:szCs w:val="21"/>
                <w:highlight w:val="none"/>
                <w:lang w:eastAsia="zh-CN"/>
              </w:rPr>
              <w:drawing>
                <wp:inline distT="0" distB="0" distL="114300" distR="114300">
                  <wp:extent cx="2844800" cy="2133600"/>
                  <wp:effectExtent l="0" t="0" r="5080" b="0"/>
                  <wp:docPr id="65" name="图片 65"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004"/>
                          <pic:cNvPicPr>
                            <a:picLocks noChangeAspect="1"/>
                          </pic:cNvPicPr>
                        </pic:nvPicPr>
                        <pic:blipFill>
                          <a:blip r:embed="rId28"/>
                          <a:stretch>
                            <a:fillRect/>
                          </a:stretch>
                        </pic:blipFill>
                        <pic:spPr>
                          <a:xfrm>
                            <a:off x="0" y="0"/>
                            <a:ext cx="2844800" cy="2133600"/>
                          </a:xfrm>
                          <a:prstGeom prst="rect">
                            <a:avLst/>
                          </a:prstGeom>
                        </pic:spPr>
                      </pic:pic>
                    </a:graphicData>
                  </a:graphic>
                </wp:inline>
              </w:drawing>
            </w:r>
          </w:p>
        </w:tc>
        <w:tc>
          <w:tcPr>
            <w:tcW w:w="4701" w:type="dxa"/>
            <w:shd w:val="clear" w:color="auto" w:fill="auto"/>
            <w:noWrap w:val="0"/>
            <w:vAlign w:val="top"/>
          </w:tcPr>
          <w:p w14:paraId="3B119909">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ascii="宋体" w:hAnsi="宋体" w:eastAsia="宋体"/>
                <w:b/>
                <w:bCs/>
                <w:color w:val="auto"/>
                <w:sz w:val="21"/>
                <w:szCs w:val="21"/>
                <w:highlight w:val="none"/>
                <w:lang w:val="en-US" w:eastAsia="zh-CN"/>
              </w:rPr>
            </w:pPr>
            <w:r>
              <w:rPr>
                <w:rFonts w:hint="eastAsia" w:ascii="宋体" w:hAnsi="宋体" w:eastAsia="宋体"/>
                <w:b/>
                <w:bCs/>
                <w:color w:val="auto"/>
                <w:sz w:val="21"/>
                <w:szCs w:val="21"/>
                <w:highlight w:val="none"/>
                <w:lang w:val="en-US" w:eastAsia="zh-CN"/>
              </w:rPr>
              <w:t>静电接地导除桩</w:t>
            </w:r>
          </w:p>
          <w:p w14:paraId="1E9E0D05">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宋体" w:hAnsi="宋体" w:eastAsia="宋体" w:cs="宋体"/>
                <w:b/>
                <w:bCs/>
                <w:color w:val="auto"/>
                <w:kern w:val="2"/>
                <w:sz w:val="21"/>
                <w:szCs w:val="21"/>
                <w:highlight w:val="none"/>
                <w:lang w:val="en-US" w:eastAsia="zh-CN" w:bidi="ar-SA"/>
              </w:rPr>
            </w:pPr>
            <w:r>
              <w:rPr>
                <w:rFonts w:hint="default" w:ascii="宋体" w:hAnsi="宋体" w:eastAsia="宋体"/>
                <w:b/>
                <w:bCs/>
                <w:color w:val="auto"/>
                <w:sz w:val="21"/>
                <w:szCs w:val="21"/>
                <w:highlight w:val="none"/>
                <w:lang w:val="en-US" w:eastAsia="zh-CN"/>
              </w:rPr>
              <w:drawing>
                <wp:inline distT="0" distB="0" distL="114300" distR="114300">
                  <wp:extent cx="2844800" cy="2133600"/>
                  <wp:effectExtent l="0" t="0" r="5080" b="0"/>
                  <wp:docPr id="79" name="图片 79" descr="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005"/>
                          <pic:cNvPicPr>
                            <a:picLocks noChangeAspect="1"/>
                          </pic:cNvPicPr>
                        </pic:nvPicPr>
                        <pic:blipFill>
                          <a:blip r:embed="rId29"/>
                          <a:stretch>
                            <a:fillRect/>
                          </a:stretch>
                        </pic:blipFill>
                        <pic:spPr>
                          <a:xfrm>
                            <a:off x="0" y="0"/>
                            <a:ext cx="2844800" cy="2133600"/>
                          </a:xfrm>
                          <a:prstGeom prst="rect">
                            <a:avLst/>
                          </a:prstGeom>
                        </pic:spPr>
                      </pic:pic>
                    </a:graphicData>
                  </a:graphic>
                </wp:inline>
              </w:drawing>
            </w:r>
          </w:p>
        </w:tc>
      </w:tr>
      <w:tr w14:paraId="5B7BD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0" w:hRule="atLeast"/>
          <w:jc w:val="center"/>
        </w:trPr>
        <w:tc>
          <w:tcPr>
            <w:tcW w:w="4700" w:type="dxa"/>
            <w:noWrap w:val="0"/>
            <w:vAlign w:val="top"/>
          </w:tcPr>
          <w:p w14:paraId="6D88DF44">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b/>
                <w:bCs/>
                <w:color w:val="auto"/>
                <w:sz w:val="21"/>
                <w:szCs w:val="21"/>
                <w:highlight w:val="none"/>
              </w:rPr>
            </w:pPr>
            <w:r>
              <w:rPr>
                <w:rFonts w:hint="eastAsia"/>
                <w:b/>
                <w:bCs/>
                <w:color w:val="auto"/>
                <w:sz w:val="21"/>
                <w:szCs w:val="21"/>
                <w:highlight w:val="none"/>
              </w:rPr>
              <w:t>柴油发电机</w:t>
            </w:r>
          </w:p>
          <w:p w14:paraId="48365413">
            <w:pPr>
              <w:pStyle w:val="39"/>
              <w:keepNext w:val="0"/>
              <w:keepLines w:val="0"/>
              <w:pageBreakBefore w:val="0"/>
              <w:widowControl w:val="0"/>
              <w:kinsoku/>
              <w:wordWrap/>
              <w:overflowPunct/>
              <w:topLinePunct w:val="0"/>
              <w:bidi w:val="0"/>
              <w:snapToGrid/>
              <w:spacing w:line="240" w:lineRule="auto"/>
              <w:ind w:firstLine="0" w:firstLineChars="0"/>
              <w:textAlignment w:val="auto"/>
              <w:rPr>
                <w:rFonts w:hint="eastAsia" w:eastAsia="..ì."/>
                <w:color w:val="auto"/>
                <w:highlight w:val="none"/>
                <w:lang w:eastAsia="zh-CN"/>
              </w:rPr>
            </w:pPr>
            <w:r>
              <w:rPr>
                <w:rFonts w:hint="eastAsia" w:eastAsia="..ì."/>
                <w:color w:val="auto"/>
                <w:highlight w:val="none"/>
                <w:lang w:eastAsia="zh-CN"/>
              </w:rPr>
              <w:drawing>
                <wp:inline distT="0" distB="0" distL="114300" distR="114300">
                  <wp:extent cx="2844800" cy="2133600"/>
                  <wp:effectExtent l="0" t="0" r="5080" b="0"/>
                  <wp:docPr id="66" name="图片 66"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006"/>
                          <pic:cNvPicPr>
                            <a:picLocks noChangeAspect="1"/>
                          </pic:cNvPicPr>
                        </pic:nvPicPr>
                        <pic:blipFill>
                          <a:blip r:embed="rId30"/>
                          <a:stretch>
                            <a:fillRect/>
                          </a:stretch>
                        </pic:blipFill>
                        <pic:spPr>
                          <a:xfrm>
                            <a:off x="0" y="0"/>
                            <a:ext cx="2844800" cy="2133600"/>
                          </a:xfrm>
                          <a:prstGeom prst="rect">
                            <a:avLst/>
                          </a:prstGeom>
                        </pic:spPr>
                      </pic:pic>
                    </a:graphicData>
                  </a:graphic>
                </wp:inline>
              </w:drawing>
            </w:r>
          </w:p>
        </w:tc>
        <w:tc>
          <w:tcPr>
            <w:tcW w:w="4701" w:type="dxa"/>
            <w:noWrap w:val="0"/>
            <w:vAlign w:val="top"/>
          </w:tcPr>
          <w:p w14:paraId="6FA39BE4">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b/>
                <w:bCs/>
                <w:color w:val="auto"/>
                <w:sz w:val="21"/>
                <w:szCs w:val="21"/>
                <w:highlight w:val="none"/>
              </w:rPr>
            </w:pPr>
            <w:r>
              <w:rPr>
                <w:rFonts w:hint="eastAsia"/>
                <w:b/>
                <w:bCs/>
                <w:color w:val="auto"/>
                <w:sz w:val="21"/>
                <w:szCs w:val="21"/>
                <w:highlight w:val="none"/>
              </w:rPr>
              <w:t>视频安防监控</w:t>
            </w:r>
          </w:p>
          <w:p w14:paraId="1BAEF64F">
            <w:pPr>
              <w:pStyle w:val="39"/>
              <w:keepNext w:val="0"/>
              <w:keepLines w:val="0"/>
              <w:pageBreakBefore w:val="0"/>
              <w:widowControl w:val="0"/>
              <w:kinsoku/>
              <w:wordWrap/>
              <w:overflowPunct/>
              <w:topLinePunct w:val="0"/>
              <w:bidi w:val="0"/>
              <w:snapToGrid/>
              <w:spacing w:line="240" w:lineRule="auto"/>
              <w:ind w:firstLine="0" w:firstLineChars="0"/>
              <w:textAlignment w:val="auto"/>
              <w:rPr>
                <w:rFonts w:hint="eastAsia" w:eastAsia="宋体"/>
                <w:b/>
                <w:bCs/>
                <w:color w:val="auto"/>
                <w:szCs w:val="21"/>
                <w:highlight w:val="none"/>
                <w:lang w:eastAsia="zh-CN"/>
              </w:rPr>
            </w:pPr>
            <w:r>
              <w:rPr>
                <w:rFonts w:hint="eastAsia" w:eastAsia="宋体"/>
                <w:b/>
                <w:bCs/>
                <w:color w:val="auto"/>
                <w:szCs w:val="21"/>
                <w:highlight w:val="none"/>
                <w:lang w:eastAsia="zh-CN"/>
              </w:rPr>
              <w:drawing>
                <wp:inline distT="0" distB="0" distL="114300" distR="114300">
                  <wp:extent cx="2844800" cy="2133600"/>
                  <wp:effectExtent l="0" t="0" r="5080" b="0"/>
                  <wp:docPr id="67" name="图片 67" descr="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015"/>
                          <pic:cNvPicPr>
                            <a:picLocks noChangeAspect="1"/>
                          </pic:cNvPicPr>
                        </pic:nvPicPr>
                        <pic:blipFill>
                          <a:blip r:embed="rId31"/>
                          <a:stretch>
                            <a:fillRect/>
                          </a:stretch>
                        </pic:blipFill>
                        <pic:spPr>
                          <a:xfrm>
                            <a:off x="0" y="0"/>
                            <a:ext cx="2844800" cy="2133600"/>
                          </a:xfrm>
                          <a:prstGeom prst="rect">
                            <a:avLst/>
                          </a:prstGeom>
                        </pic:spPr>
                      </pic:pic>
                    </a:graphicData>
                  </a:graphic>
                </wp:inline>
              </w:drawing>
            </w:r>
          </w:p>
        </w:tc>
      </w:tr>
      <w:tr w14:paraId="700AE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8" w:hRule="atLeast"/>
          <w:jc w:val="center"/>
        </w:trPr>
        <w:tc>
          <w:tcPr>
            <w:tcW w:w="4700" w:type="dxa"/>
            <w:noWrap w:val="0"/>
            <w:vAlign w:val="top"/>
          </w:tcPr>
          <w:p w14:paraId="0FE519E6">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b/>
                <w:bCs/>
                <w:color w:val="auto"/>
                <w:sz w:val="21"/>
                <w:szCs w:val="21"/>
                <w:highlight w:val="none"/>
              </w:rPr>
            </w:pPr>
            <w:r>
              <w:rPr>
                <w:rFonts w:hint="eastAsia"/>
                <w:b/>
                <w:bCs/>
                <w:color w:val="auto"/>
                <w:sz w:val="21"/>
                <w:szCs w:val="21"/>
                <w:highlight w:val="none"/>
              </w:rPr>
              <w:t>液位</w:t>
            </w:r>
            <w:r>
              <w:rPr>
                <w:rFonts w:hint="eastAsia"/>
                <w:b/>
                <w:bCs/>
                <w:color w:val="auto"/>
                <w:sz w:val="21"/>
                <w:szCs w:val="21"/>
                <w:highlight w:val="none"/>
                <w:lang w:eastAsia="zh-CN"/>
              </w:rPr>
              <w:t>、</w:t>
            </w:r>
            <w:r>
              <w:rPr>
                <w:rFonts w:hint="eastAsia"/>
                <w:b/>
                <w:bCs/>
                <w:color w:val="auto"/>
                <w:sz w:val="21"/>
                <w:szCs w:val="21"/>
                <w:highlight w:val="none"/>
                <w:lang w:val="en-US" w:eastAsia="zh-CN"/>
              </w:rPr>
              <w:t>双层管线、</w:t>
            </w:r>
            <w:r>
              <w:rPr>
                <w:rFonts w:hint="eastAsia"/>
                <w:b/>
                <w:bCs/>
                <w:color w:val="auto"/>
                <w:sz w:val="21"/>
                <w:szCs w:val="21"/>
                <w:highlight w:val="none"/>
              </w:rPr>
              <w:t>监测</w:t>
            </w:r>
            <w:r>
              <w:rPr>
                <w:rFonts w:hint="eastAsia"/>
                <w:b/>
                <w:bCs/>
                <w:color w:val="auto"/>
                <w:sz w:val="21"/>
                <w:szCs w:val="21"/>
                <w:highlight w:val="none"/>
                <w:lang w:eastAsia="zh-CN"/>
              </w:rPr>
              <w:t>、</w:t>
            </w:r>
          </w:p>
          <w:p w14:paraId="23E4E734">
            <w:pPr>
              <w:pStyle w:val="39"/>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eastAsia="..ì."/>
                <w:color w:val="auto"/>
                <w:highlight w:val="none"/>
                <w:lang w:eastAsia="zh-CN"/>
              </w:rPr>
            </w:pPr>
            <w:r>
              <w:rPr>
                <w:rFonts w:hint="eastAsia" w:ascii="宋体" w:hAnsi="宋体" w:eastAsia="宋体"/>
                <w:b/>
                <w:bCs/>
                <w:color w:val="auto"/>
                <w:sz w:val="21"/>
                <w:szCs w:val="21"/>
                <w:highlight w:val="none"/>
                <w:lang w:val="en-US" w:eastAsia="zh-CN"/>
              </w:rPr>
              <mc:AlternateContent>
                <mc:Choice Requires="wps">
                  <w:drawing>
                    <wp:anchor distT="0" distB="0" distL="114300" distR="114300" simplePos="0" relativeHeight="251676672" behindDoc="0" locked="0" layoutInCell="1" allowOverlap="1">
                      <wp:simplePos x="0" y="0"/>
                      <wp:positionH relativeFrom="column">
                        <wp:posOffset>1321435</wp:posOffset>
                      </wp:positionH>
                      <wp:positionV relativeFrom="paragraph">
                        <wp:posOffset>1635125</wp:posOffset>
                      </wp:positionV>
                      <wp:extent cx="1633855" cy="704215"/>
                      <wp:effectExtent l="4445" t="385445" r="7620" b="7620"/>
                      <wp:wrapNone/>
                      <wp:docPr id="76" name="矩形标注 76"/>
                      <wp:cNvGraphicFramePr/>
                      <a:graphic xmlns:a="http://schemas.openxmlformats.org/drawingml/2006/main">
                        <a:graphicData uri="http://schemas.microsoft.com/office/word/2010/wordprocessingShape">
                          <wps:wsp>
                            <wps:cNvSpPr/>
                            <wps:spPr>
                              <a:xfrm>
                                <a:off x="0" y="0"/>
                                <a:ext cx="1633855" cy="704215"/>
                              </a:xfrm>
                              <a:prstGeom prst="wedgeRectCallout">
                                <a:avLst>
                                  <a:gd name="adj1" fmla="val -26020"/>
                                  <a:gd name="adj2" fmla="val -103291"/>
                                </a:avLst>
                              </a:prstGeom>
                              <a:noFill/>
                              <a:ln w="9525" cap="flat" cmpd="sng">
                                <a:solidFill>
                                  <a:srgbClr val="FF0000"/>
                                </a:solidFill>
                                <a:prstDash val="solid"/>
                                <a:miter/>
                                <a:headEnd type="none" w="med" len="med"/>
                                <a:tailEnd type="none" w="med" len="med"/>
                              </a:ln>
                            </wps:spPr>
                            <wps:txbx>
                              <w:txbxContent>
                                <w:p w14:paraId="282E1F0C">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可燃/有毒气体检测报警系统</w:t>
                                  </w:r>
                                </w:p>
                              </w:txbxContent>
                            </wps:txbx>
                            <wps:bodyPr upright="1"/>
                          </wps:wsp>
                        </a:graphicData>
                      </a:graphic>
                    </wp:anchor>
                  </w:drawing>
                </mc:Choice>
                <mc:Fallback>
                  <w:pict>
                    <v:shape id="_x0000_s1026" o:spid="_x0000_s1026" o:spt="61" type="#_x0000_t61" style="position:absolute;left:0pt;margin-left:104.05pt;margin-top:128.75pt;height:55.45pt;width:128.65pt;z-index:251676672;mso-width-relative:page;mso-height-relative:page;" filled="f" stroked="t" coordsize="21600,21600" o:gfxdata="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Sh4mPbAAAACwEAAA8AAAAAAAAAAQAgAAAAIgAAAGRycy9k&#10;b3ducmV2LnhtbFBLAQIUABQAAAAIAIdO4kCvLl1sOAIAAGgEAAAOAAAAAAAAAAEAIAAAACoBAABk&#10;cnMvZTJvRG9jLnhtbFBLBQYAAAAABgAGAFkBAADUBQAAAAA=&#10;" adj="5180,-11511">
                      <v:fill on="f" focussize="0,0"/>
                      <v:stroke color="#FF0000" joinstyle="miter"/>
                      <v:imagedata o:title=""/>
                      <o:lock v:ext="edit" aspectratio="f"/>
                      <v:textbox>
                        <w:txbxContent>
                          <w:p w14:paraId="282E1F0C">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可燃/有毒气体检测报警系统</w:t>
                            </w:r>
                          </w:p>
                        </w:txbxContent>
                      </v:textbox>
                    </v:shape>
                  </w:pict>
                </mc:Fallback>
              </mc:AlternateContent>
            </w:r>
            <w:r>
              <w:rPr>
                <w:rFonts w:hint="eastAsia" w:ascii="宋体" w:hAnsi="宋体" w:eastAsia="宋体"/>
                <w:b/>
                <w:bCs/>
                <w:color w:val="auto"/>
                <w:sz w:val="21"/>
                <w:szCs w:val="21"/>
                <w:highlight w:val="none"/>
                <w:lang w:val="en-US" w:eastAsia="zh-CN"/>
              </w:rPr>
              <mc:AlternateContent>
                <mc:Choice Requires="wps">
                  <w:drawing>
                    <wp:anchor distT="0" distB="0" distL="114300" distR="114300" simplePos="0" relativeHeight="251675648" behindDoc="0" locked="0" layoutInCell="1" allowOverlap="1">
                      <wp:simplePos x="0" y="0"/>
                      <wp:positionH relativeFrom="column">
                        <wp:posOffset>1044575</wp:posOffset>
                      </wp:positionH>
                      <wp:positionV relativeFrom="paragraph">
                        <wp:posOffset>90170</wp:posOffset>
                      </wp:positionV>
                      <wp:extent cx="1267460" cy="476250"/>
                      <wp:effectExtent l="4445" t="4445" r="8255" b="570865"/>
                      <wp:wrapNone/>
                      <wp:docPr id="75" name="矩形标注 75"/>
                      <wp:cNvGraphicFramePr/>
                      <a:graphic xmlns:a="http://schemas.openxmlformats.org/drawingml/2006/main">
                        <a:graphicData uri="http://schemas.microsoft.com/office/word/2010/wordprocessingShape">
                          <wps:wsp>
                            <wps:cNvSpPr/>
                            <wps:spPr>
                              <a:xfrm>
                                <a:off x="0" y="0"/>
                                <a:ext cx="1267460" cy="476250"/>
                              </a:xfrm>
                              <a:prstGeom prst="wedgeRectCallout">
                                <a:avLst>
                                  <a:gd name="adj1" fmla="val -29408"/>
                                  <a:gd name="adj2" fmla="val 163066"/>
                                </a:avLst>
                              </a:prstGeom>
                              <a:noFill/>
                              <a:ln w="9525" cap="flat" cmpd="sng">
                                <a:solidFill>
                                  <a:srgbClr val="FF0000"/>
                                </a:solidFill>
                                <a:prstDash val="solid"/>
                                <a:miter/>
                                <a:headEnd type="none" w="med" len="med"/>
                                <a:tailEnd type="none" w="med" len="med"/>
                              </a:ln>
                            </wps:spPr>
                            <wps:txbx>
                              <w:txbxContent>
                                <w:p w14:paraId="33057B21">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紧急报警系统</w:t>
                                  </w:r>
                                </w:p>
                              </w:txbxContent>
                            </wps:txbx>
                            <wps:bodyPr upright="1"/>
                          </wps:wsp>
                        </a:graphicData>
                      </a:graphic>
                    </wp:anchor>
                  </w:drawing>
                </mc:Choice>
                <mc:Fallback>
                  <w:pict>
                    <v:shape id="_x0000_s1026" o:spid="_x0000_s1026" o:spt="61" type="#_x0000_t61" style="position:absolute;left:0pt;margin-left:82.25pt;margin-top:7.1pt;height:37.5pt;width:99.8pt;z-index:251675648;mso-width-relative:page;mso-height-relative:page;" filled="f" stroked="t" coordsize="21600,21600" o:gfxdata="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wfbij2AAAAAkBAAAPAAAAAAAAAAEAIAAAACIAAABkcnMvZG93&#10;bnJldi54bWxQSwECFAAUAAAACACHTuJABu0j2jkCAABnBAAADgAAAAAAAAABACAAAAAnAQAAZHJz&#10;L2Uyb0RvYy54bWxQSwUGAAAAAAYABgBZAQAA0gUAAAAA&#10;" adj="4448,46022">
                      <v:fill on="f" focussize="0,0"/>
                      <v:stroke color="#FF0000" joinstyle="miter"/>
                      <v:imagedata o:title=""/>
                      <o:lock v:ext="edit" aspectratio="f"/>
                      <v:textbox>
                        <w:txbxContent>
                          <w:p w14:paraId="33057B21">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紧急报警系统</w:t>
                            </w:r>
                          </w:p>
                        </w:txbxContent>
                      </v:textbox>
                    </v:shape>
                  </w:pict>
                </mc:Fallback>
              </mc:AlternateContent>
            </w:r>
            <w:r>
              <w:rPr>
                <w:rFonts w:hint="eastAsia" w:ascii="宋体" w:hAnsi="宋体" w:eastAsia="宋体"/>
                <w:b/>
                <w:bCs/>
                <w:color w:val="auto"/>
                <w:sz w:val="21"/>
                <w:szCs w:val="21"/>
                <w:highlight w:val="none"/>
                <w:lang w:val="en-US" w:eastAsia="zh-CN"/>
              </w:rPr>
              <mc:AlternateContent>
                <mc:Choice Requires="wps">
                  <w:drawing>
                    <wp:anchor distT="0" distB="0" distL="114300" distR="114300" simplePos="0" relativeHeight="251674624" behindDoc="0" locked="0" layoutInCell="1" allowOverlap="1">
                      <wp:simplePos x="0" y="0"/>
                      <wp:positionH relativeFrom="column">
                        <wp:posOffset>-112395</wp:posOffset>
                      </wp:positionH>
                      <wp:positionV relativeFrom="paragraph">
                        <wp:posOffset>1663065</wp:posOffset>
                      </wp:positionV>
                      <wp:extent cx="1267460" cy="476250"/>
                      <wp:effectExtent l="4445" t="397510" r="8255" b="10160"/>
                      <wp:wrapNone/>
                      <wp:docPr id="94" name="矩形标注 94"/>
                      <wp:cNvGraphicFramePr/>
                      <a:graphic xmlns:a="http://schemas.openxmlformats.org/drawingml/2006/main">
                        <a:graphicData uri="http://schemas.microsoft.com/office/word/2010/wordprocessingShape">
                          <wps:wsp>
                            <wps:cNvSpPr/>
                            <wps:spPr>
                              <a:xfrm>
                                <a:off x="0" y="0"/>
                                <a:ext cx="1267460" cy="476250"/>
                              </a:xfrm>
                              <a:prstGeom prst="wedgeRectCallout">
                                <a:avLst>
                                  <a:gd name="adj1" fmla="val 29058"/>
                                  <a:gd name="adj2" fmla="val -130800"/>
                                </a:avLst>
                              </a:prstGeom>
                              <a:noFill/>
                              <a:ln w="9525" cap="flat" cmpd="sng">
                                <a:solidFill>
                                  <a:srgbClr val="FF0000"/>
                                </a:solidFill>
                                <a:prstDash val="solid"/>
                                <a:miter/>
                                <a:headEnd type="none" w="med" len="med"/>
                                <a:tailEnd type="none" w="med" len="med"/>
                              </a:ln>
                            </wps:spPr>
                            <wps:txbx>
                              <w:txbxContent>
                                <w:p w14:paraId="1600E858">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油罐泄漏检测</w:t>
                                  </w:r>
                                </w:p>
                              </w:txbxContent>
                            </wps:txbx>
                            <wps:bodyPr upright="1"/>
                          </wps:wsp>
                        </a:graphicData>
                      </a:graphic>
                    </wp:anchor>
                  </w:drawing>
                </mc:Choice>
                <mc:Fallback>
                  <w:pict>
                    <v:shape id="_x0000_s1026" o:spid="_x0000_s1026" o:spt="61" type="#_x0000_t61" style="position:absolute;left:0pt;margin-left:-8.85pt;margin-top:130.95pt;height:37.5pt;width:99.8pt;z-index:251674624;mso-width-relative:page;mso-height-relative:page;" filled="f" stroked="t" coordsize="21600,21600" o:gfxdata="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5CilY2wAAAAsBAAAPAAAAAAAAAAEAIAAAACIAAABkcnMv&#10;ZG93bnJldi54bWxQSwECFAAUAAAACACHTuJA17HHLzkCAABnBAAADgAAAAAAAAABACAAAAAqAQAA&#10;ZHJzL2Uyb0RvYy54bWxQSwUGAAAAAAYABgBZAQAA1QUAAAAA&#10;" adj="17077,-17453">
                      <v:fill on="f" focussize="0,0"/>
                      <v:stroke color="#FF0000" joinstyle="miter"/>
                      <v:imagedata o:title=""/>
                      <o:lock v:ext="edit" aspectratio="f"/>
                      <v:textbox>
                        <w:txbxContent>
                          <w:p w14:paraId="1600E858">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油罐泄漏检测</w:t>
                            </w:r>
                          </w:p>
                        </w:txbxContent>
                      </v:textbox>
                    </v:shape>
                  </w:pict>
                </mc:Fallback>
              </mc:AlternateContent>
            </w:r>
            <w:r>
              <w:rPr>
                <w:rFonts w:hint="eastAsia" w:ascii="宋体" w:hAnsi="宋体" w:eastAsia="宋体"/>
                <w:b/>
                <w:bCs/>
                <w:color w:val="auto"/>
                <w:sz w:val="21"/>
                <w:szCs w:val="21"/>
                <w:highlight w:val="none"/>
                <w:lang w:val="en-US" w:eastAsia="zh-CN"/>
              </w:rPr>
              <mc:AlternateContent>
                <mc:Choice Requires="wps">
                  <w:drawing>
                    <wp:anchor distT="0" distB="0" distL="114300" distR="114300" simplePos="0" relativeHeight="251673600" behindDoc="0" locked="0" layoutInCell="1" allowOverlap="1">
                      <wp:simplePos x="0" y="0"/>
                      <wp:positionH relativeFrom="column">
                        <wp:posOffset>-100330</wp:posOffset>
                      </wp:positionH>
                      <wp:positionV relativeFrom="paragraph">
                        <wp:posOffset>68580</wp:posOffset>
                      </wp:positionV>
                      <wp:extent cx="755015" cy="476250"/>
                      <wp:effectExtent l="4445" t="4445" r="276860" b="83185"/>
                      <wp:wrapNone/>
                      <wp:docPr id="93" name="矩形标注 93"/>
                      <wp:cNvGraphicFramePr/>
                      <a:graphic xmlns:a="http://schemas.openxmlformats.org/drawingml/2006/main">
                        <a:graphicData uri="http://schemas.microsoft.com/office/word/2010/wordprocessingShape">
                          <wps:wsp>
                            <wps:cNvSpPr/>
                            <wps:spPr>
                              <a:xfrm>
                                <a:off x="0" y="0"/>
                                <a:ext cx="755015" cy="476250"/>
                              </a:xfrm>
                              <a:prstGeom prst="wedgeRectCallout">
                                <a:avLst>
                                  <a:gd name="adj1" fmla="val 82968"/>
                                  <a:gd name="adj2" fmla="val 62266"/>
                                </a:avLst>
                              </a:prstGeom>
                              <a:noFill/>
                              <a:ln w="9525" cap="flat" cmpd="sng">
                                <a:solidFill>
                                  <a:srgbClr val="FF0000"/>
                                </a:solidFill>
                                <a:prstDash val="solid"/>
                                <a:miter/>
                                <a:headEnd type="none" w="med" len="med"/>
                                <a:tailEnd type="none" w="med" len="med"/>
                              </a:ln>
                            </wps:spPr>
                            <wps:txbx>
                              <w:txbxContent>
                                <w:p w14:paraId="2CE2FE6B">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液位仪</w:t>
                                  </w:r>
                                </w:p>
                              </w:txbxContent>
                            </wps:txbx>
                            <wps:bodyPr upright="1"/>
                          </wps:wsp>
                        </a:graphicData>
                      </a:graphic>
                    </wp:anchor>
                  </w:drawing>
                </mc:Choice>
                <mc:Fallback>
                  <w:pict>
                    <v:shape id="_x0000_s1026" o:spid="_x0000_s1026" o:spt="61" type="#_x0000_t61" style="position:absolute;left:0pt;margin-left:-7.9pt;margin-top:5.4pt;height:37.5pt;width:59.45pt;z-index:251673600;mso-width-relative:page;mso-height-relative:page;" filled="f" stroked="t" coordsize="21600,21600" o:gfxdata="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iCxwvYAAAACQEAAA8AAAAAAAAAAQAgAAAAIgAAAGRycy9kb3ducmV2&#10;LnhtbFBLAQIUABQAAAAIAIdO4kDO/U10NQIAAGQEAAAOAAAAAAAAAAEAIAAAACcBAABkcnMvZTJv&#10;RG9jLnhtbFBLBQYAAAAABgAGAFkBAADOBQAAAAA=&#10;" adj="28721,24249">
                      <v:fill on="f" focussize="0,0"/>
                      <v:stroke color="#FF0000" joinstyle="miter"/>
                      <v:imagedata o:title=""/>
                      <o:lock v:ext="edit" aspectratio="f"/>
                      <v:textbox>
                        <w:txbxContent>
                          <w:p w14:paraId="2CE2FE6B">
                            <w:pPr>
                              <w:ind w:firstLine="0" w:firstLineChars="0"/>
                              <w:rPr>
                                <w:rFonts w:hint="default" w:eastAsia="宋体"/>
                                <w:color w:val="FF0000"/>
                                <w:lang w:val="en-US" w:eastAsia="zh-CN"/>
                                <w14:textOutline w14:w="9525">
                                  <w14:solidFill>
                                    <w14:srgbClr w14:val="FF0000"/>
                                  </w14:solidFill>
                                  <w14:round/>
                                </w14:textOutline>
                              </w:rPr>
                            </w:pPr>
                            <w:r>
                              <w:rPr>
                                <w:rFonts w:hint="eastAsia"/>
                                <w:color w:val="FF0000"/>
                                <w:lang w:val="en-US" w:eastAsia="zh-CN"/>
                                <w14:textOutline w14:w="9525">
                                  <w14:solidFill>
                                    <w14:srgbClr w14:val="FF0000"/>
                                  </w14:solidFill>
                                  <w14:round/>
                                </w14:textOutline>
                              </w:rPr>
                              <w:t>液位仪</w:t>
                            </w:r>
                          </w:p>
                        </w:txbxContent>
                      </v:textbox>
                    </v:shape>
                  </w:pict>
                </mc:Fallback>
              </mc:AlternateContent>
            </w:r>
            <w:r>
              <w:rPr>
                <w:rFonts w:hint="eastAsia" w:eastAsia="..ì."/>
                <w:color w:val="auto"/>
                <w:highlight w:val="none"/>
                <w:lang w:eastAsia="zh-CN"/>
              </w:rPr>
              <w:drawing>
                <wp:inline distT="0" distB="0" distL="114300" distR="114300">
                  <wp:extent cx="2844800" cy="2133600"/>
                  <wp:effectExtent l="0" t="0" r="5080" b="0"/>
                  <wp:docPr id="68" name="图片 68" descr="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014"/>
                          <pic:cNvPicPr>
                            <a:picLocks noChangeAspect="1"/>
                          </pic:cNvPicPr>
                        </pic:nvPicPr>
                        <pic:blipFill>
                          <a:blip r:embed="rId32"/>
                          <a:stretch>
                            <a:fillRect/>
                          </a:stretch>
                        </pic:blipFill>
                        <pic:spPr>
                          <a:xfrm>
                            <a:off x="0" y="0"/>
                            <a:ext cx="2844800" cy="2133600"/>
                          </a:xfrm>
                          <a:prstGeom prst="rect">
                            <a:avLst/>
                          </a:prstGeom>
                        </pic:spPr>
                      </pic:pic>
                    </a:graphicData>
                  </a:graphic>
                </wp:inline>
              </w:drawing>
            </w:r>
          </w:p>
        </w:tc>
        <w:tc>
          <w:tcPr>
            <w:tcW w:w="4701" w:type="dxa"/>
            <w:shd w:val="clear" w:color="auto" w:fill="auto"/>
            <w:noWrap w:val="0"/>
            <w:vAlign w:val="top"/>
          </w:tcPr>
          <w:p w14:paraId="3312956C">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液位仪</w:t>
            </w:r>
          </w:p>
          <w:p w14:paraId="15E60790">
            <w:pPr>
              <w:pStyle w:val="39"/>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宋体" w:hAnsi="Times New Roman" w:eastAsia="宋体" w:cs="宋体"/>
                <w:color w:val="auto"/>
                <w:kern w:val="2"/>
                <w:sz w:val="24"/>
                <w:szCs w:val="24"/>
                <w:highlight w:val="none"/>
                <w:lang w:val="en-US" w:eastAsia="zh-CN" w:bidi="ar-SA"/>
              </w:rPr>
            </w:pPr>
            <w:r>
              <w:rPr>
                <w:rFonts w:hint="eastAsia" w:eastAsia="宋体"/>
                <w:color w:val="auto"/>
                <w:highlight w:val="none"/>
                <w:lang w:eastAsia="zh-CN"/>
              </w:rPr>
              <w:drawing>
                <wp:inline distT="0" distB="0" distL="114300" distR="114300">
                  <wp:extent cx="2844800" cy="2133600"/>
                  <wp:effectExtent l="0" t="0" r="5080" b="0"/>
                  <wp:docPr id="81" name="图片 81" descr="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016"/>
                          <pic:cNvPicPr>
                            <a:picLocks noChangeAspect="1"/>
                          </pic:cNvPicPr>
                        </pic:nvPicPr>
                        <pic:blipFill>
                          <a:blip r:embed="rId33"/>
                          <a:stretch>
                            <a:fillRect/>
                          </a:stretch>
                        </pic:blipFill>
                        <pic:spPr>
                          <a:xfrm>
                            <a:off x="0" y="0"/>
                            <a:ext cx="2844800" cy="2133600"/>
                          </a:xfrm>
                          <a:prstGeom prst="rect">
                            <a:avLst/>
                          </a:prstGeom>
                        </pic:spPr>
                      </pic:pic>
                    </a:graphicData>
                  </a:graphic>
                </wp:inline>
              </w:drawing>
            </w:r>
          </w:p>
        </w:tc>
      </w:tr>
      <w:tr w14:paraId="12C3A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5" w:hRule="atLeast"/>
          <w:jc w:val="center"/>
        </w:trPr>
        <w:tc>
          <w:tcPr>
            <w:tcW w:w="4700" w:type="dxa"/>
            <w:shd w:val="clear" w:color="auto" w:fill="auto"/>
            <w:noWrap w:val="0"/>
            <w:vAlign w:val="top"/>
          </w:tcPr>
          <w:p w14:paraId="6BE99642">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b/>
                <w:bCs/>
                <w:color w:val="auto"/>
                <w:sz w:val="21"/>
                <w:szCs w:val="21"/>
                <w:highlight w:val="none"/>
              </w:rPr>
            </w:pPr>
            <w:r>
              <w:rPr>
                <w:rFonts w:hint="eastAsia"/>
                <w:b/>
                <w:bCs/>
                <w:color w:val="auto"/>
                <w:sz w:val="21"/>
                <w:szCs w:val="21"/>
                <w:highlight w:val="none"/>
              </w:rPr>
              <w:t>配电柜</w:t>
            </w:r>
          </w:p>
          <w:p w14:paraId="04DE2380">
            <w:pPr>
              <w:pStyle w:val="39"/>
              <w:keepNext w:val="0"/>
              <w:keepLines w:val="0"/>
              <w:pageBreakBefore w:val="0"/>
              <w:widowControl w:val="0"/>
              <w:kinsoku/>
              <w:wordWrap/>
              <w:overflowPunct/>
              <w:topLinePunct w:val="0"/>
              <w:bidi w:val="0"/>
              <w:snapToGrid/>
              <w:spacing w:line="240" w:lineRule="auto"/>
              <w:ind w:firstLine="0" w:firstLineChars="0"/>
              <w:textAlignment w:val="auto"/>
              <w:rPr>
                <w:rFonts w:hint="eastAsia" w:ascii="宋体" w:hAnsi="Times New Roman" w:eastAsia="..ì." w:cs="宋体"/>
                <w:color w:val="auto"/>
                <w:kern w:val="2"/>
                <w:sz w:val="24"/>
                <w:szCs w:val="24"/>
                <w:highlight w:val="none"/>
                <w:lang w:val="en-US" w:eastAsia="zh-CN" w:bidi="ar-SA"/>
              </w:rPr>
            </w:pPr>
            <w:r>
              <w:rPr>
                <w:rFonts w:hint="eastAsia" w:eastAsia="..ì."/>
                <w:color w:val="auto"/>
                <w:highlight w:val="none"/>
                <w:lang w:eastAsia="zh-CN"/>
              </w:rPr>
              <w:drawing>
                <wp:inline distT="0" distB="0" distL="114300" distR="114300">
                  <wp:extent cx="2844800" cy="2133600"/>
                  <wp:effectExtent l="0" t="0" r="5080" b="0"/>
                  <wp:docPr id="80" name="图片 80" descr="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007"/>
                          <pic:cNvPicPr>
                            <a:picLocks noChangeAspect="1"/>
                          </pic:cNvPicPr>
                        </pic:nvPicPr>
                        <pic:blipFill>
                          <a:blip r:embed="rId34"/>
                          <a:stretch>
                            <a:fillRect/>
                          </a:stretch>
                        </pic:blipFill>
                        <pic:spPr>
                          <a:xfrm>
                            <a:off x="0" y="0"/>
                            <a:ext cx="2844800" cy="2133600"/>
                          </a:xfrm>
                          <a:prstGeom prst="rect">
                            <a:avLst/>
                          </a:prstGeom>
                        </pic:spPr>
                      </pic:pic>
                    </a:graphicData>
                  </a:graphic>
                </wp:inline>
              </w:drawing>
            </w:r>
          </w:p>
        </w:tc>
        <w:tc>
          <w:tcPr>
            <w:tcW w:w="4701" w:type="dxa"/>
            <w:noWrap w:val="0"/>
            <w:vAlign w:val="top"/>
          </w:tcPr>
          <w:p w14:paraId="724C74DE">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宋体" w:hAnsi="宋体" w:eastAsia="宋体"/>
                <w:b/>
                <w:bCs/>
                <w:color w:val="auto"/>
                <w:sz w:val="21"/>
                <w:szCs w:val="21"/>
                <w:highlight w:val="none"/>
              </w:rPr>
            </w:pPr>
            <w:r>
              <w:rPr>
                <w:rFonts w:hint="eastAsia" w:ascii="宋体" w:hAnsi="宋体" w:eastAsia="宋体"/>
                <w:b/>
                <w:bCs/>
                <w:color w:val="auto"/>
                <w:sz w:val="21"/>
                <w:szCs w:val="21"/>
                <w:highlight w:val="none"/>
              </w:rPr>
              <w:t>加油机内部</w:t>
            </w:r>
          </w:p>
          <w:p w14:paraId="40029C42">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宋体" w:hAnsi="宋体" w:eastAsia="宋体"/>
                <w:b/>
                <w:bCs/>
                <w:color w:val="auto"/>
                <w:sz w:val="21"/>
                <w:szCs w:val="21"/>
                <w:highlight w:val="none"/>
                <w:lang w:eastAsia="zh-CN"/>
              </w:rPr>
            </w:pPr>
            <w:r>
              <w:rPr>
                <w:rFonts w:hint="eastAsia" w:ascii="宋体" w:hAnsi="宋体" w:eastAsia="宋体"/>
                <w:b/>
                <w:bCs/>
                <w:color w:val="auto"/>
                <w:sz w:val="21"/>
                <w:szCs w:val="21"/>
                <w:highlight w:val="none"/>
                <w:lang w:eastAsia="zh-CN"/>
              </w:rPr>
              <w:drawing>
                <wp:inline distT="0" distB="0" distL="114300" distR="114300">
                  <wp:extent cx="2844800" cy="2133600"/>
                  <wp:effectExtent l="0" t="0" r="5080" b="0"/>
                  <wp:docPr id="70" name="图片 70"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009"/>
                          <pic:cNvPicPr>
                            <a:picLocks noChangeAspect="1"/>
                          </pic:cNvPicPr>
                        </pic:nvPicPr>
                        <pic:blipFill>
                          <a:blip r:embed="rId35"/>
                          <a:stretch>
                            <a:fillRect/>
                          </a:stretch>
                        </pic:blipFill>
                        <pic:spPr>
                          <a:xfrm>
                            <a:off x="0" y="0"/>
                            <a:ext cx="2844800" cy="2133600"/>
                          </a:xfrm>
                          <a:prstGeom prst="rect">
                            <a:avLst/>
                          </a:prstGeom>
                        </pic:spPr>
                      </pic:pic>
                    </a:graphicData>
                  </a:graphic>
                </wp:inline>
              </w:drawing>
            </w:r>
          </w:p>
        </w:tc>
      </w:tr>
      <w:tr w14:paraId="7B51E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6" w:hRule="atLeast"/>
          <w:jc w:val="center"/>
        </w:trPr>
        <w:tc>
          <w:tcPr>
            <w:tcW w:w="4700" w:type="dxa"/>
            <w:noWrap w:val="0"/>
            <w:vAlign w:val="top"/>
          </w:tcPr>
          <w:p w14:paraId="09417550">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ascii="宋体" w:hAnsi="宋体" w:eastAsia="宋体"/>
                <w:b/>
                <w:bCs/>
                <w:color w:val="auto"/>
                <w:sz w:val="21"/>
                <w:szCs w:val="21"/>
                <w:highlight w:val="none"/>
                <w:lang w:val="en-US" w:eastAsia="zh-CN"/>
              </w:rPr>
            </w:pPr>
            <w:r>
              <w:rPr>
                <w:rFonts w:hint="eastAsia" w:ascii="宋体" w:hAnsi="宋体" w:eastAsia="宋体"/>
                <w:b/>
                <w:bCs/>
                <w:color w:val="auto"/>
                <w:sz w:val="21"/>
                <w:szCs w:val="21"/>
                <w:highlight w:val="none"/>
                <w:lang w:val="en-US" w:eastAsia="zh-CN"/>
              </w:rPr>
              <w:t>卸油区应急物资</w:t>
            </w:r>
          </w:p>
          <w:p w14:paraId="09CA7827">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ascii="宋体" w:hAnsi="宋体" w:eastAsia="宋体"/>
                <w:b/>
                <w:bCs/>
                <w:color w:val="auto"/>
                <w:sz w:val="21"/>
                <w:szCs w:val="21"/>
                <w:highlight w:val="none"/>
                <w:lang w:val="en-US" w:eastAsia="zh-CN"/>
              </w:rPr>
            </w:pPr>
            <w:r>
              <w:rPr>
                <w:rFonts w:hint="default" w:ascii="宋体" w:hAnsi="宋体" w:eastAsia="宋体"/>
                <w:b/>
                <w:bCs/>
                <w:color w:val="auto"/>
                <w:sz w:val="21"/>
                <w:szCs w:val="21"/>
                <w:highlight w:val="none"/>
                <w:lang w:val="en-US" w:eastAsia="zh-CN"/>
              </w:rPr>
              <w:drawing>
                <wp:inline distT="0" distB="0" distL="114300" distR="114300">
                  <wp:extent cx="2844800" cy="2133600"/>
                  <wp:effectExtent l="0" t="0" r="5080" b="0"/>
                  <wp:docPr id="72" name="图片 72"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003"/>
                          <pic:cNvPicPr>
                            <a:picLocks noChangeAspect="1"/>
                          </pic:cNvPicPr>
                        </pic:nvPicPr>
                        <pic:blipFill>
                          <a:blip r:embed="rId36"/>
                          <a:stretch>
                            <a:fillRect/>
                          </a:stretch>
                        </pic:blipFill>
                        <pic:spPr>
                          <a:xfrm>
                            <a:off x="0" y="0"/>
                            <a:ext cx="2844800" cy="2133600"/>
                          </a:xfrm>
                          <a:prstGeom prst="rect">
                            <a:avLst/>
                          </a:prstGeom>
                        </pic:spPr>
                      </pic:pic>
                    </a:graphicData>
                  </a:graphic>
                </wp:inline>
              </w:drawing>
            </w:r>
          </w:p>
        </w:tc>
        <w:tc>
          <w:tcPr>
            <w:tcW w:w="4701" w:type="dxa"/>
            <w:noWrap w:val="0"/>
            <w:vAlign w:val="top"/>
          </w:tcPr>
          <w:p w14:paraId="1D5E0B73">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eastAsia" w:ascii="宋体" w:hAnsi="宋体" w:eastAsia="宋体"/>
                <w:b/>
                <w:bCs/>
                <w:color w:val="auto"/>
                <w:sz w:val="21"/>
                <w:szCs w:val="21"/>
                <w:highlight w:val="none"/>
                <w:lang w:val="en-US" w:eastAsia="zh-CN"/>
              </w:rPr>
            </w:pPr>
            <w:r>
              <w:rPr>
                <w:rFonts w:hint="eastAsia" w:ascii="宋体" w:hAnsi="宋体" w:eastAsia="宋体"/>
                <w:b/>
                <w:bCs/>
                <w:color w:val="auto"/>
                <w:sz w:val="21"/>
                <w:szCs w:val="21"/>
                <w:highlight w:val="none"/>
                <w:lang w:val="en-US" w:eastAsia="zh-CN"/>
              </w:rPr>
              <w:t>进站须知</w:t>
            </w:r>
          </w:p>
          <w:p w14:paraId="664FDFBE">
            <w:pPr>
              <w:keepNext w:val="0"/>
              <w:keepLines w:val="0"/>
              <w:pageBreakBefore w:val="0"/>
              <w:widowControl w:val="0"/>
              <w:kinsoku/>
              <w:wordWrap/>
              <w:overflowPunct/>
              <w:topLinePunct w:val="0"/>
              <w:bidi w:val="0"/>
              <w:snapToGrid/>
              <w:spacing w:line="240" w:lineRule="auto"/>
              <w:ind w:firstLine="0" w:firstLineChars="0"/>
              <w:jc w:val="center"/>
              <w:textAlignment w:val="auto"/>
              <w:rPr>
                <w:rFonts w:hint="default" w:ascii="宋体" w:hAnsi="宋体" w:eastAsia="宋体"/>
                <w:b/>
                <w:bCs/>
                <w:color w:val="auto"/>
                <w:sz w:val="21"/>
                <w:szCs w:val="21"/>
                <w:highlight w:val="none"/>
                <w:lang w:val="en-US" w:eastAsia="zh-CN"/>
              </w:rPr>
            </w:pPr>
            <w:r>
              <w:rPr>
                <w:rFonts w:hint="default" w:ascii="宋体" w:hAnsi="宋体" w:eastAsia="宋体"/>
                <w:b/>
                <w:bCs/>
                <w:color w:val="auto"/>
                <w:sz w:val="21"/>
                <w:szCs w:val="21"/>
                <w:highlight w:val="none"/>
                <w:lang w:val="en-US" w:eastAsia="zh-CN"/>
              </w:rPr>
              <w:drawing>
                <wp:inline distT="0" distB="0" distL="114300" distR="114300">
                  <wp:extent cx="2844800" cy="2133600"/>
                  <wp:effectExtent l="0" t="0" r="5080" b="0"/>
                  <wp:docPr id="73" name="图片 73" descr="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011"/>
                          <pic:cNvPicPr>
                            <a:picLocks noChangeAspect="1"/>
                          </pic:cNvPicPr>
                        </pic:nvPicPr>
                        <pic:blipFill>
                          <a:blip r:embed="rId37"/>
                          <a:stretch>
                            <a:fillRect/>
                          </a:stretch>
                        </pic:blipFill>
                        <pic:spPr>
                          <a:xfrm>
                            <a:off x="0" y="0"/>
                            <a:ext cx="2844800" cy="2133600"/>
                          </a:xfrm>
                          <a:prstGeom prst="rect">
                            <a:avLst/>
                          </a:prstGeom>
                        </pic:spPr>
                      </pic:pic>
                    </a:graphicData>
                  </a:graphic>
                </wp:inline>
              </w:drawing>
            </w:r>
          </w:p>
        </w:tc>
      </w:tr>
    </w:tbl>
    <w:p w14:paraId="75F79917">
      <w:pPr>
        <w:pStyle w:val="39"/>
        <w:rPr>
          <w:rFonts w:hint="eastAsia"/>
          <w:color w:val="auto"/>
          <w:highlight w:val="none"/>
          <w:lang w:val="en-US" w:eastAsia="zh-CN"/>
        </w:rPr>
        <w:sectPr>
          <w:headerReference r:id="rId7" w:type="first"/>
          <w:footerReference r:id="rId10" w:type="first"/>
          <w:headerReference r:id="rId5" w:type="default"/>
          <w:footerReference r:id="rId8" w:type="default"/>
          <w:headerReference r:id="rId6" w:type="even"/>
          <w:footerReference r:id="rId9" w:type="even"/>
          <w:pgSz w:w="11905" w:h="16838"/>
          <w:pgMar w:top="1304" w:right="1361" w:bottom="1304" w:left="1361" w:header="850" w:footer="850" w:gutter="0"/>
          <w:pgNumType w:start="1"/>
          <w:cols w:space="0" w:num="1"/>
          <w:rtlGutter w:val="0"/>
          <w:docGrid w:type="linesAndChars" w:linePitch="386" w:charSpace="0"/>
        </w:sectPr>
      </w:pPr>
    </w:p>
    <w:p w14:paraId="1237BE9E">
      <w:pPr>
        <w:ind w:firstLine="480"/>
        <w:jc w:val="center"/>
        <w:rPr>
          <w:b/>
          <w:bCs/>
          <w:color w:val="auto"/>
          <w:sz w:val="32"/>
          <w:szCs w:val="32"/>
          <w:highlight w:val="none"/>
        </w:rPr>
      </w:pPr>
      <w:r>
        <w:rPr>
          <w:rFonts w:hint="eastAsia"/>
          <w:b/>
          <w:bCs/>
          <w:color w:val="auto"/>
          <w:sz w:val="32"/>
          <w:szCs w:val="32"/>
          <w:highlight w:val="none"/>
        </w:rPr>
        <w:t>前</w:t>
      </w:r>
      <w:r>
        <w:rPr>
          <w:rFonts w:hint="eastAsia"/>
          <w:b/>
          <w:bCs/>
          <w:color w:val="auto"/>
          <w:sz w:val="32"/>
          <w:szCs w:val="32"/>
          <w:highlight w:val="none"/>
          <w:lang w:val="en-US" w:eastAsia="zh-CN"/>
        </w:rPr>
        <w:t xml:space="preserve">   </w:t>
      </w:r>
      <w:r>
        <w:rPr>
          <w:rFonts w:hint="eastAsia"/>
          <w:b/>
          <w:bCs/>
          <w:color w:val="auto"/>
          <w:sz w:val="32"/>
          <w:szCs w:val="32"/>
          <w:highlight w:val="none"/>
        </w:rPr>
        <w:t>言</w:t>
      </w:r>
    </w:p>
    <w:p w14:paraId="3B21AA34">
      <w:pPr>
        <w:ind w:firstLine="560" w:firstLineChars="200"/>
        <w:rPr>
          <w:rFonts w:hAnsi="宋体"/>
          <w:color w:val="auto"/>
          <w:highlight w:val="none"/>
        </w:rPr>
      </w:pPr>
      <w:r>
        <w:rPr>
          <w:rFonts w:hint="eastAsia" w:hAnsi="宋体"/>
          <w:color w:val="auto"/>
          <w:highlight w:val="none"/>
        </w:rPr>
        <w:t>为了贯彻落实以人为本</w:t>
      </w:r>
      <w:r>
        <w:rPr>
          <w:rFonts w:hint="eastAsia"/>
          <w:color w:val="auto"/>
          <w:highlight w:val="none"/>
          <w:lang w:eastAsia="zh-CN"/>
        </w:rPr>
        <w:t>，</w:t>
      </w:r>
      <w:r>
        <w:rPr>
          <w:rFonts w:hint="eastAsia" w:hAnsi="宋体"/>
          <w:color w:val="auto"/>
          <w:highlight w:val="none"/>
        </w:rPr>
        <w:t>坚持安全发展</w:t>
      </w:r>
      <w:r>
        <w:rPr>
          <w:rFonts w:hint="eastAsia"/>
          <w:color w:val="auto"/>
          <w:highlight w:val="none"/>
          <w:lang w:eastAsia="zh-CN"/>
        </w:rPr>
        <w:t>，</w:t>
      </w:r>
      <w:r>
        <w:rPr>
          <w:rFonts w:hint="eastAsia" w:hAnsi="宋体"/>
          <w:color w:val="auto"/>
          <w:highlight w:val="none"/>
        </w:rPr>
        <w:t>坚持“安全第一、预防为主、综合治理”的方针</w:t>
      </w:r>
      <w:r>
        <w:rPr>
          <w:rFonts w:hint="eastAsia"/>
          <w:color w:val="auto"/>
          <w:highlight w:val="none"/>
          <w:lang w:eastAsia="zh-CN"/>
        </w:rPr>
        <w:t>，</w:t>
      </w:r>
      <w:r>
        <w:rPr>
          <w:rFonts w:hAnsi="宋体"/>
          <w:color w:val="auto"/>
          <w:highlight w:val="none"/>
        </w:rPr>
        <w:t>加强对危险化学品的安全管理</w:t>
      </w:r>
      <w:r>
        <w:rPr>
          <w:rFonts w:hint="eastAsia"/>
          <w:color w:val="auto"/>
          <w:highlight w:val="none"/>
          <w:lang w:eastAsia="zh-CN"/>
        </w:rPr>
        <w:t>，</w:t>
      </w:r>
      <w:r>
        <w:rPr>
          <w:rFonts w:hAnsi="宋体"/>
          <w:color w:val="auto"/>
          <w:highlight w:val="none"/>
        </w:rPr>
        <w:t>保证安全生产</w:t>
      </w:r>
      <w:r>
        <w:rPr>
          <w:rFonts w:hint="eastAsia"/>
          <w:color w:val="auto"/>
          <w:highlight w:val="none"/>
          <w:lang w:eastAsia="zh-CN"/>
        </w:rPr>
        <w:t>，</w:t>
      </w:r>
      <w:r>
        <w:rPr>
          <w:rFonts w:hAnsi="宋体"/>
          <w:color w:val="auto"/>
          <w:highlight w:val="none"/>
        </w:rPr>
        <w:t>保障人民生命财产的安全</w:t>
      </w:r>
      <w:r>
        <w:rPr>
          <w:rFonts w:hint="eastAsia"/>
          <w:color w:val="auto"/>
          <w:highlight w:val="none"/>
          <w:lang w:eastAsia="zh-CN"/>
        </w:rPr>
        <w:t>，</w:t>
      </w:r>
      <w:r>
        <w:rPr>
          <w:rFonts w:hAnsi="宋体"/>
          <w:color w:val="auto"/>
          <w:highlight w:val="none"/>
        </w:rPr>
        <w:t>保护环境</w:t>
      </w:r>
      <w:r>
        <w:rPr>
          <w:rFonts w:hint="eastAsia"/>
          <w:color w:val="auto"/>
          <w:highlight w:val="none"/>
          <w:lang w:eastAsia="zh-CN"/>
        </w:rPr>
        <w:t>，</w:t>
      </w:r>
      <w:r>
        <w:rPr>
          <w:rFonts w:hAnsi="宋体"/>
          <w:color w:val="auto"/>
          <w:highlight w:val="none"/>
        </w:rPr>
        <w:t>根据《</w:t>
      </w:r>
      <w:r>
        <w:rPr>
          <w:rFonts w:hint="eastAsia" w:hAnsi="宋体"/>
          <w:color w:val="auto"/>
          <w:highlight w:val="none"/>
        </w:rPr>
        <w:t>中华人民共和国安全生产法</w:t>
      </w:r>
      <w:r>
        <w:rPr>
          <w:rFonts w:hint="eastAsia" w:hAnsi="宋体"/>
          <w:color w:val="auto"/>
          <w:highlight w:val="none"/>
          <w:lang w:eastAsia="zh-CN"/>
        </w:rPr>
        <w:t>》《</w:t>
      </w:r>
      <w:r>
        <w:rPr>
          <w:rFonts w:hAnsi="宋体"/>
          <w:color w:val="auto"/>
          <w:highlight w:val="none"/>
        </w:rPr>
        <w:t>危险化学品安全管理条例</w:t>
      </w:r>
      <w:r>
        <w:rPr>
          <w:rFonts w:hint="eastAsia" w:hAnsi="宋体"/>
          <w:color w:val="auto"/>
          <w:highlight w:val="none"/>
          <w:lang w:eastAsia="zh-CN"/>
        </w:rPr>
        <w:t>》《</w:t>
      </w:r>
      <w:r>
        <w:rPr>
          <w:rFonts w:hAnsi="宋体"/>
          <w:color w:val="auto"/>
          <w:highlight w:val="none"/>
        </w:rPr>
        <w:t>危险化学品经营许可证管理办法》</w:t>
      </w:r>
      <w:r>
        <w:rPr>
          <w:rFonts w:hint="eastAsia" w:hAnsi="宋体"/>
          <w:color w:val="auto"/>
          <w:highlight w:val="none"/>
        </w:rPr>
        <w:t>《</w:t>
      </w:r>
      <w:r>
        <w:rPr>
          <w:rFonts w:hint="eastAsia" w:hAnsi="宋体"/>
          <w:color w:val="auto"/>
          <w:szCs w:val="28"/>
          <w:highlight w:val="none"/>
          <w:lang w:val="en-US" w:eastAsia="zh-CN"/>
        </w:rPr>
        <w:t>汽车加油加气加氢站技术标准</w:t>
      </w:r>
      <w:r>
        <w:rPr>
          <w:rFonts w:hint="eastAsia" w:hAnsi="宋体"/>
          <w:color w:val="auto"/>
          <w:szCs w:val="28"/>
          <w:highlight w:val="none"/>
        </w:rPr>
        <w:t>》</w:t>
      </w:r>
      <w:r>
        <w:rPr>
          <w:rFonts w:hint="eastAsia" w:hAnsi="宋体"/>
          <w:color w:val="auto"/>
          <w:highlight w:val="none"/>
          <w:lang w:val="en-US" w:eastAsia="zh-CN"/>
        </w:rPr>
        <w:t>等</w:t>
      </w:r>
      <w:r>
        <w:rPr>
          <w:rFonts w:hint="eastAsia" w:hAnsi="宋体"/>
          <w:color w:val="auto"/>
          <w:highlight w:val="none"/>
        </w:rPr>
        <w:t>有关规定。受</w:t>
      </w:r>
      <w:r>
        <w:rPr>
          <w:rFonts w:hint="eastAsia"/>
          <w:color w:val="auto"/>
          <w:szCs w:val="44"/>
          <w:highlight w:val="none"/>
          <w:lang w:eastAsia="zh-CN"/>
        </w:rPr>
        <w:t>文山市星运能源有限公司</w:t>
      </w:r>
      <w:r>
        <w:rPr>
          <w:rFonts w:hint="eastAsia" w:hAnsi="宋体"/>
          <w:bCs/>
          <w:color w:val="auto"/>
          <w:highlight w:val="none"/>
        </w:rPr>
        <w:t>的</w:t>
      </w:r>
      <w:r>
        <w:rPr>
          <w:rFonts w:hint="eastAsia" w:hAnsi="宋体"/>
          <w:color w:val="auto"/>
          <w:highlight w:val="none"/>
        </w:rPr>
        <w:t>委托</w:t>
      </w:r>
      <w:r>
        <w:rPr>
          <w:rFonts w:hint="eastAsia"/>
          <w:color w:val="auto"/>
          <w:highlight w:val="none"/>
          <w:lang w:eastAsia="zh-CN"/>
        </w:rPr>
        <w:t>，</w:t>
      </w:r>
      <w:r>
        <w:rPr>
          <w:rFonts w:hint="eastAsia" w:hAnsi="宋体"/>
          <w:color w:val="auto"/>
          <w:highlight w:val="none"/>
        </w:rPr>
        <w:t>昭通</w:t>
      </w:r>
      <w:r>
        <w:rPr>
          <w:rFonts w:hint="eastAsia" w:hAnsi="宋体"/>
          <w:color w:val="auto"/>
          <w:highlight w:val="none"/>
          <w:lang w:val="en-US" w:eastAsia="zh-CN"/>
        </w:rPr>
        <w:t>市</w:t>
      </w:r>
      <w:r>
        <w:rPr>
          <w:rFonts w:hint="eastAsia" w:hAnsi="宋体"/>
          <w:color w:val="auto"/>
          <w:highlight w:val="none"/>
        </w:rPr>
        <w:t>鼎安科技有限公司</w:t>
      </w:r>
      <w:r>
        <w:rPr>
          <w:rFonts w:hint="eastAsia"/>
          <w:color w:val="auto"/>
          <w:highlight w:val="none"/>
        </w:rPr>
        <w:t>对</w:t>
      </w:r>
      <w:r>
        <w:rPr>
          <w:rFonts w:hint="eastAsia"/>
          <w:color w:val="auto"/>
          <w:szCs w:val="44"/>
          <w:highlight w:val="none"/>
          <w:lang w:eastAsia="zh-CN"/>
        </w:rPr>
        <w:t>文山市星运能源有限公司</w:t>
      </w:r>
      <w:r>
        <w:rPr>
          <w:rFonts w:hint="eastAsia" w:hAnsi="宋体"/>
          <w:color w:val="auto"/>
          <w:highlight w:val="none"/>
        </w:rPr>
        <w:t>进行安全现状评价。</w:t>
      </w:r>
    </w:p>
    <w:p w14:paraId="114C2A81">
      <w:pPr>
        <w:widowControl/>
        <w:adjustRightInd w:val="0"/>
        <w:ind w:firstLine="560" w:firstLineChars="200"/>
        <w:rPr>
          <w:rFonts w:hAnsi="宋体"/>
          <w:color w:val="auto"/>
          <w:highlight w:val="none"/>
        </w:rPr>
      </w:pPr>
      <w:r>
        <w:rPr>
          <w:rFonts w:hint="eastAsia"/>
          <w:color w:val="auto"/>
          <w:highlight w:val="none"/>
        </w:rPr>
        <w:t>自接受委托后</w:t>
      </w:r>
      <w:r>
        <w:rPr>
          <w:rFonts w:hint="eastAsia"/>
          <w:color w:val="auto"/>
          <w:highlight w:val="none"/>
          <w:lang w:eastAsia="zh-CN"/>
        </w:rPr>
        <w:t>，</w:t>
      </w:r>
      <w:r>
        <w:rPr>
          <w:rFonts w:hint="eastAsia"/>
          <w:color w:val="auto"/>
          <w:highlight w:val="none"/>
        </w:rPr>
        <w:t>公司成立了项目安全评价组</w:t>
      </w:r>
      <w:r>
        <w:rPr>
          <w:rFonts w:hint="eastAsia"/>
          <w:color w:val="auto"/>
          <w:highlight w:val="none"/>
          <w:lang w:eastAsia="zh-CN"/>
        </w:rPr>
        <w:t>，</w:t>
      </w:r>
      <w:r>
        <w:rPr>
          <w:rFonts w:hint="eastAsia"/>
          <w:color w:val="auto"/>
          <w:highlight w:val="none"/>
        </w:rPr>
        <w:t>通过对相关法律法规、规程和行业标准的收集以及对同类企业的调研后</w:t>
      </w:r>
      <w:r>
        <w:rPr>
          <w:rFonts w:hint="eastAsia"/>
          <w:color w:val="auto"/>
          <w:highlight w:val="none"/>
          <w:lang w:eastAsia="zh-CN"/>
        </w:rPr>
        <w:t>，</w:t>
      </w:r>
      <w:r>
        <w:rPr>
          <w:rFonts w:hint="eastAsia"/>
          <w:color w:val="auto"/>
          <w:highlight w:val="none"/>
        </w:rPr>
        <w:t>于202</w:t>
      </w:r>
      <w:r>
        <w:rPr>
          <w:rFonts w:hint="eastAsia"/>
          <w:color w:val="auto"/>
          <w:highlight w:val="none"/>
          <w:lang w:val="en-US" w:eastAsia="zh-CN"/>
        </w:rPr>
        <w:t>4</w:t>
      </w:r>
      <w:r>
        <w:rPr>
          <w:rFonts w:hint="eastAsia"/>
          <w:color w:val="auto"/>
          <w:highlight w:val="none"/>
        </w:rPr>
        <w:t>年</w:t>
      </w:r>
      <w:r>
        <w:rPr>
          <w:rFonts w:hint="eastAsia"/>
          <w:color w:val="auto"/>
          <w:highlight w:val="none"/>
          <w:lang w:val="en-US" w:eastAsia="zh-CN"/>
        </w:rPr>
        <w:t>9</w:t>
      </w:r>
      <w:r>
        <w:rPr>
          <w:rFonts w:hint="eastAsia"/>
          <w:color w:val="auto"/>
          <w:highlight w:val="none"/>
        </w:rPr>
        <w:t>月</w:t>
      </w:r>
      <w:r>
        <w:rPr>
          <w:rFonts w:hint="eastAsia"/>
          <w:color w:val="auto"/>
          <w:highlight w:val="none"/>
          <w:lang w:val="en-US" w:eastAsia="zh-CN"/>
        </w:rPr>
        <w:t>21</w:t>
      </w:r>
      <w:r>
        <w:rPr>
          <w:rFonts w:hint="eastAsia"/>
          <w:color w:val="auto"/>
          <w:highlight w:val="none"/>
        </w:rPr>
        <w:t>日组织有关评价人员到该企业进行现场</w:t>
      </w:r>
      <w:r>
        <w:rPr>
          <w:rFonts w:hint="eastAsia"/>
          <w:color w:val="auto"/>
          <w:highlight w:val="none"/>
          <w:lang w:eastAsia="zh-CN"/>
        </w:rPr>
        <w:t>勘查</w:t>
      </w:r>
      <w:r>
        <w:rPr>
          <w:rFonts w:hint="eastAsia"/>
          <w:color w:val="auto"/>
          <w:highlight w:val="none"/>
        </w:rPr>
        <w:t>、调研和资料收集</w:t>
      </w:r>
      <w:r>
        <w:rPr>
          <w:rFonts w:hint="eastAsia"/>
          <w:color w:val="auto"/>
          <w:highlight w:val="none"/>
          <w:lang w:eastAsia="zh-CN"/>
        </w:rPr>
        <w:t>，</w:t>
      </w:r>
      <w:r>
        <w:rPr>
          <w:rFonts w:hint="eastAsia"/>
          <w:color w:val="auto"/>
          <w:highlight w:val="none"/>
        </w:rPr>
        <w:t>通过对该加油站安全经营条件和安全管理进行全面的调查、分析</w:t>
      </w:r>
      <w:r>
        <w:rPr>
          <w:rFonts w:hint="eastAsia"/>
          <w:color w:val="auto"/>
          <w:highlight w:val="none"/>
          <w:lang w:eastAsia="zh-CN"/>
        </w:rPr>
        <w:t>，</w:t>
      </w:r>
      <w:r>
        <w:rPr>
          <w:rFonts w:hint="eastAsia"/>
          <w:color w:val="auto"/>
          <w:highlight w:val="none"/>
        </w:rPr>
        <w:t>运用安全系统工程的方法</w:t>
      </w:r>
      <w:r>
        <w:rPr>
          <w:rFonts w:hint="eastAsia"/>
          <w:color w:val="auto"/>
          <w:highlight w:val="none"/>
          <w:lang w:eastAsia="zh-CN"/>
        </w:rPr>
        <w:t>，</w:t>
      </w:r>
      <w:r>
        <w:rPr>
          <w:rFonts w:hint="eastAsia"/>
          <w:color w:val="auto"/>
          <w:highlight w:val="none"/>
        </w:rPr>
        <w:t>进行危险、有害因素的识别及其危险度评价</w:t>
      </w:r>
      <w:r>
        <w:rPr>
          <w:rFonts w:hint="eastAsia"/>
          <w:color w:val="auto"/>
          <w:highlight w:val="none"/>
          <w:lang w:eastAsia="zh-CN"/>
        </w:rPr>
        <w:t>，</w:t>
      </w:r>
      <w:r>
        <w:rPr>
          <w:rFonts w:hint="eastAsia"/>
          <w:color w:val="auto"/>
          <w:highlight w:val="none"/>
        </w:rPr>
        <w:t>查找该系统中存在的事故隐患并判定其危害程度</w:t>
      </w:r>
      <w:r>
        <w:rPr>
          <w:rFonts w:hint="eastAsia"/>
          <w:color w:val="auto"/>
          <w:highlight w:val="none"/>
          <w:lang w:eastAsia="zh-CN"/>
        </w:rPr>
        <w:t>，</w:t>
      </w:r>
      <w:r>
        <w:rPr>
          <w:rFonts w:hint="eastAsia"/>
          <w:color w:val="auto"/>
          <w:highlight w:val="none"/>
        </w:rPr>
        <w:t>运用科学的评价方法</w:t>
      </w:r>
      <w:r>
        <w:rPr>
          <w:rFonts w:hint="eastAsia"/>
          <w:color w:val="auto"/>
          <w:highlight w:val="none"/>
          <w:lang w:eastAsia="zh-CN"/>
        </w:rPr>
        <w:t>，</w:t>
      </w:r>
      <w:r>
        <w:rPr>
          <w:rFonts w:hint="eastAsia"/>
          <w:color w:val="auto"/>
          <w:highlight w:val="none"/>
        </w:rPr>
        <w:t>得出客观、公正的评价结论</w:t>
      </w:r>
      <w:r>
        <w:rPr>
          <w:rFonts w:hint="eastAsia"/>
          <w:color w:val="auto"/>
          <w:highlight w:val="none"/>
          <w:lang w:eastAsia="zh-CN"/>
        </w:rPr>
        <w:t>，</w:t>
      </w:r>
      <w:r>
        <w:rPr>
          <w:rFonts w:hint="eastAsia"/>
          <w:color w:val="auto"/>
          <w:highlight w:val="none"/>
        </w:rPr>
        <w:t>并提出相应的安全对策措施和建议</w:t>
      </w:r>
      <w:r>
        <w:rPr>
          <w:rFonts w:hint="eastAsia"/>
          <w:color w:val="auto"/>
          <w:highlight w:val="none"/>
          <w:lang w:eastAsia="zh-CN"/>
        </w:rPr>
        <w:t>，</w:t>
      </w:r>
      <w:r>
        <w:rPr>
          <w:rFonts w:hint="eastAsia" w:hAnsi="宋体"/>
          <w:color w:val="auto"/>
          <w:highlight w:val="none"/>
        </w:rPr>
        <w:t>最后按照《安全评价通则》</w:t>
      </w:r>
      <w:r>
        <w:rPr>
          <w:rFonts w:hint="eastAsia"/>
          <w:color w:val="auto"/>
          <w:highlight w:val="none"/>
          <w:lang w:eastAsia="zh-CN"/>
        </w:rPr>
        <w:t>（</w:t>
      </w:r>
      <w:r>
        <w:rPr>
          <w:rFonts w:hAnsi="宋体"/>
          <w:color w:val="auto"/>
          <w:highlight w:val="none"/>
        </w:rPr>
        <w:t>AQ8001-2007</w:t>
      </w:r>
      <w:r>
        <w:rPr>
          <w:rFonts w:hint="eastAsia"/>
          <w:color w:val="auto"/>
          <w:highlight w:val="none"/>
          <w:lang w:eastAsia="zh-CN"/>
        </w:rPr>
        <w:t>）</w:t>
      </w:r>
      <w:r>
        <w:rPr>
          <w:rFonts w:hint="eastAsia" w:hAnsi="宋体"/>
          <w:color w:val="auto"/>
          <w:highlight w:val="none"/>
        </w:rPr>
        <w:t>的要求编制完成安全现状评价报告</w:t>
      </w:r>
      <w:r>
        <w:rPr>
          <w:rFonts w:hint="eastAsia"/>
          <w:color w:val="auto"/>
          <w:highlight w:val="none"/>
          <w:lang w:eastAsia="zh-CN"/>
        </w:rPr>
        <w:t>，</w:t>
      </w:r>
      <w:r>
        <w:rPr>
          <w:rFonts w:hint="eastAsia" w:hAnsi="宋体"/>
          <w:color w:val="auto"/>
          <w:highlight w:val="none"/>
        </w:rPr>
        <w:t>为</w:t>
      </w:r>
      <w:r>
        <w:rPr>
          <w:rFonts w:hint="eastAsia" w:hAnsi="宋体"/>
          <w:color w:val="auto"/>
          <w:highlight w:val="none"/>
          <w:lang w:val="en-US" w:eastAsia="zh-CN"/>
        </w:rPr>
        <w:t>应急管理部门</w:t>
      </w:r>
      <w:r>
        <w:rPr>
          <w:rFonts w:hint="eastAsia" w:hAnsi="宋体"/>
          <w:color w:val="auto"/>
          <w:highlight w:val="none"/>
        </w:rPr>
        <w:t>提供安全生产管理依据。</w:t>
      </w:r>
    </w:p>
    <w:p w14:paraId="163C49D2">
      <w:pPr>
        <w:widowControl/>
        <w:adjustRightInd w:val="0"/>
        <w:ind w:firstLine="560" w:firstLineChars="200"/>
        <w:rPr>
          <w:rFonts w:hAnsi="宋体"/>
          <w:color w:val="auto"/>
          <w:highlight w:val="none"/>
        </w:rPr>
      </w:pPr>
      <w:r>
        <w:rPr>
          <w:rFonts w:hint="eastAsia" w:hAnsi="宋体"/>
          <w:color w:val="auto"/>
          <w:highlight w:val="none"/>
        </w:rPr>
        <w:t>通过安全评价</w:t>
      </w:r>
      <w:r>
        <w:rPr>
          <w:rFonts w:hint="eastAsia"/>
          <w:color w:val="auto"/>
          <w:highlight w:val="none"/>
          <w:lang w:eastAsia="zh-CN"/>
        </w:rPr>
        <w:t>，</w:t>
      </w:r>
      <w:r>
        <w:rPr>
          <w:rFonts w:hint="eastAsia" w:hAnsi="宋体"/>
          <w:color w:val="auto"/>
          <w:highlight w:val="none"/>
        </w:rPr>
        <w:t>可为企业事故隐患治理提供依据</w:t>
      </w:r>
      <w:r>
        <w:rPr>
          <w:rFonts w:hint="eastAsia"/>
          <w:color w:val="auto"/>
          <w:highlight w:val="none"/>
          <w:lang w:eastAsia="zh-CN"/>
        </w:rPr>
        <w:t>；</w:t>
      </w:r>
      <w:r>
        <w:rPr>
          <w:rFonts w:hint="eastAsia" w:hAnsi="宋体"/>
          <w:color w:val="auto"/>
          <w:highlight w:val="none"/>
        </w:rPr>
        <w:t>可为企业的安全投入与资金使用提供参考</w:t>
      </w:r>
      <w:r>
        <w:rPr>
          <w:rFonts w:hint="eastAsia"/>
          <w:color w:val="auto"/>
          <w:highlight w:val="none"/>
          <w:lang w:eastAsia="zh-CN"/>
        </w:rPr>
        <w:t>；</w:t>
      </w:r>
      <w:r>
        <w:rPr>
          <w:rFonts w:hint="eastAsia" w:hAnsi="宋体"/>
          <w:color w:val="auto"/>
          <w:highlight w:val="none"/>
        </w:rPr>
        <w:t>可促进经营单位的安全管理。通过发现、整改和减少事故隐患</w:t>
      </w:r>
      <w:r>
        <w:rPr>
          <w:rFonts w:hint="eastAsia"/>
          <w:color w:val="auto"/>
          <w:highlight w:val="none"/>
          <w:lang w:eastAsia="zh-CN"/>
        </w:rPr>
        <w:t>，</w:t>
      </w:r>
      <w:r>
        <w:rPr>
          <w:rFonts w:hint="eastAsia" w:hAnsi="宋体"/>
          <w:color w:val="auto"/>
          <w:highlight w:val="none"/>
        </w:rPr>
        <w:t>提高企业经营的本质安全度。</w:t>
      </w:r>
    </w:p>
    <w:p w14:paraId="441C7239">
      <w:pPr>
        <w:widowControl/>
        <w:adjustRightInd w:val="0"/>
        <w:ind w:firstLine="560" w:firstLineChars="200"/>
        <w:rPr>
          <w:rFonts w:hAnsi="宋体"/>
          <w:color w:val="auto"/>
          <w:highlight w:val="none"/>
        </w:rPr>
      </w:pPr>
      <w:r>
        <w:rPr>
          <w:rFonts w:hint="eastAsia" w:hAnsi="宋体"/>
          <w:color w:val="auto"/>
          <w:highlight w:val="none"/>
        </w:rPr>
        <w:t>在评价的过程中得到了业主的积极配合</w:t>
      </w:r>
      <w:r>
        <w:rPr>
          <w:rFonts w:hint="eastAsia"/>
          <w:color w:val="auto"/>
          <w:highlight w:val="none"/>
          <w:lang w:eastAsia="zh-CN"/>
        </w:rPr>
        <w:t>，</w:t>
      </w:r>
      <w:r>
        <w:rPr>
          <w:rFonts w:hint="eastAsia" w:hAnsi="宋体"/>
          <w:color w:val="auto"/>
          <w:highlight w:val="none"/>
        </w:rPr>
        <w:t>同时引用了前人的一些研究成果和技术资料</w:t>
      </w:r>
      <w:r>
        <w:rPr>
          <w:rFonts w:hint="eastAsia"/>
          <w:color w:val="auto"/>
          <w:highlight w:val="none"/>
          <w:lang w:eastAsia="zh-CN"/>
        </w:rPr>
        <w:t>，</w:t>
      </w:r>
      <w:r>
        <w:rPr>
          <w:rFonts w:hint="eastAsia" w:hAnsi="宋体"/>
          <w:color w:val="auto"/>
          <w:highlight w:val="none"/>
        </w:rPr>
        <w:t>在此一并表示感谢。</w:t>
      </w:r>
    </w:p>
    <w:p w14:paraId="4166784F">
      <w:pPr>
        <w:rPr>
          <w:rFonts w:hint="eastAsia" w:hAnsi="宋体" w:eastAsia="宋体"/>
          <w:bCs/>
          <w:color w:val="auto"/>
          <w:szCs w:val="32"/>
          <w:highlight w:val="none"/>
        </w:rPr>
      </w:pPr>
    </w:p>
    <w:p w14:paraId="715C77FA">
      <w:pPr>
        <w:pStyle w:val="39"/>
        <w:rPr>
          <w:rFonts w:hint="eastAsia"/>
          <w:color w:val="auto"/>
          <w:highlight w:val="none"/>
        </w:rPr>
        <w:sectPr>
          <w:footerReference r:id="rId11" w:type="default"/>
          <w:pgSz w:w="11905" w:h="16838"/>
          <w:pgMar w:top="1417" w:right="1134" w:bottom="1134" w:left="1587" w:header="850" w:footer="850" w:gutter="0"/>
          <w:pgNumType w:fmt="decimal" w:start="1"/>
          <w:cols w:space="0" w:num="1"/>
          <w:rtlGutter w:val="0"/>
          <w:docGrid w:type="linesAndChars" w:linePitch="386" w:charSpace="0"/>
        </w:sectPr>
      </w:pPr>
    </w:p>
    <w:p w14:paraId="6A7F6D8E">
      <w:pPr>
        <w:pStyle w:val="59"/>
        <w:keepNext w:val="0"/>
        <w:keepLines w:val="0"/>
        <w:pageBreakBefore w:val="0"/>
        <w:widowControl/>
        <w:kinsoku/>
        <w:wordWrap/>
        <w:overflowPunct/>
        <w:topLinePunct w:val="0"/>
        <w:autoSpaceDE/>
        <w:autoSpaceDN/>
        <w:bidi w:val="0"/>
        <w:adjustRightInd/>
        <w:snapToGrid w:val="0"/>
        <w:spacing w:line="360" w:lineRule="auto"/>
        <w:ind w:firstLine="0" w:firstLineChars="0"/>
        <w:textAlignment w:val="center"/>
        <w:rPr>
          <w:rFonts w:eastAsia="宋体"/>
          <w:bCs/>
          <w:color w:val="000000" w:themeColor="text1"/>
          <w:szCs w:val="32"/>
          <w14:textFill>
            <w14:solidFill>
              <w14:schemeClr w14:val="tx1"/>
            </w14:solidFill>
          </w14:textFill>
        </w:rPr>
      </w:pPr>
      <w:r>
        <w:rPr>
          <w:rFonts w:hint="eastAsia" w:eastAsia="宋体"/>
          <w:bCs/>
          <w:color w:val="000000" w:themeColor="text1"/>
          <w:szCs w:val="32"/>
          <w14:textFill>
            <w14:solidFill>
              <w14:schemeClr w14:val="tx1"/>
            </w14:solidFill>
          </w14:textFill>
        </w:rPr>
        <w:t>目 录</w:t>
      </w:r>
    </w:p>
    <w:p w14:paraId="571B19D7">
      <w:pPr>
        <w:pStyle w:val="25"/>
        <w:tabs>
          <w:tab w:val="right" w:leader="dot" w:pos="9183"/>
        </w:tabs>
      </w:pP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color w:val="000000" w:themeColor="text1"/>
          <w:szCs w:val="24"/>
          <w14:textFill>
            <w14:solidFill>
              <w14:schemeClr w14:val="tx1"/>
            </w14:solidFill>
          </w14:textFill>
        </w:rPr>
        <w:instrText xml:space="preserve"> TOC \o "1-3" \h \z \u </w:instrText>
      </w:r>
      <w:r>
        <w:rPr>
          <w:rFonts w:hint="eastAsia" w:ascii="宋体" w:hAnsi="宋体" w:eastAsia="宋体" w:cs="宋体"/>
          <w:bCs w:val="0"/>
          <w:color w:val="000000" w:themeColor="text1"/>
          <w:szCs w:val="24"/>
          <w14:textFill>
            <w14:solidFill>
              <w14:schemeClr w14:val="tx1"/>
            </w14:solidFill>
          </w14:textFill>
        </w:rPr>
        <w:fldChar w:fldCharType="separate"/>
      </w: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szCs w:val="24"/>
        </w:rPr>
        <w:instrText xml:space="preserve"> HYPERLINK \l _Toc23561 </w:instrText>
      </w:r>
      <w:r>
        <w:rPr>
          <w:rFonts w:hint="eastAsia" w:ascii="宋体" w:hAnsi="宋体" w:eastAsia="宋体" w:cs="宋体"/>
          <w:bCs w:val="0"/>
          <w:szCs w:val="24"/>
        </w:rPr>
        <w:fldChar w:fldCharType="separate"/>
      </w:r>
      <w:r>
        <w:rPr>
          <w:rFonts w:hint="eastAsia"/>
        </w:rPr>
        <w:t>第1章 安全评价工作经过</w:t>
      </w:r>
      <w:r>
        <w:tab/>
      </w:r>
      <w:r>
        <w:fldChar w:fldCharType="begin"/>
      </w:r>
      <w:r>
        <w:instrText xml:space="preserve"> PAGEREF _Toc23561 \h </w:instrText>
      </w:r>
      <w:r>
        <w:fldChar w:fldCharType="separate"/>
      </w:r>
      <w:r>
        <w:t>1</w:t>
      </w:r>
      <w:r>
        <w:fldChar w:fldCharType="end"/>
      </w:r>
      <w:r>
        <w:rPr>
          <w:rFonts w:hint="eastAsia" w:ascii="宋体" w:hAnsi="宋体" w:eastAsia="宋体" w:cs="宋体"/>
          <w:bCs w:val="0"/>
          <w:color w:val="000000" w:themeColor="text1"/>
          <w:szCs w:val="24"/>
          <w14:textFill>
            <w14:solidFill>
              <w14:schemeClr w14:val="tx1"/>
            </w14:solidFill>
          </w14:textFill>
        </w:rPr>
        <w:fldChar w:fldCharType="end"/>
      </w:r>
    </w:p>
    <w:p w14:paraId="023C29A9">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_Toc20081 </w:instrText>
      </w:r>
      <w:r>
        <w:rPr>
          <w:rFonts w:hint="eastAsia" w:ascii="宋体" w:hAnsi="宋体" w:eastAsia="宋体" w:cs="宋体"/>
          <w:bCs/>
          <w:szCs w:val="24"/>
        </w:rPr>
        <w:fldChar w:fldCharType="separate"/>
      </w:r>
      <w:r>
        <w:rPr>
          <w:rFonts w:hint="eastAsia"/>
        </w:rPr>
        <w:t>1.1 前期准备情况</w:t>
      </w:r>
      <w:r>
        <w:tab/>
      </w:r>
      <w:r>
        <w:fldChar w:fldCharType="begin"/>
      </w:r>
      <w:r>
        <w:instrText xml:space="preserve"> PAGEREF _Toc20081 \h </w:instrText>
      </w:r>
      <w:r>
        <w:fldChar w:fldCharType="separate"/>
      </w:r>
      <w:r>
        <w:t>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803E48D">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_Toc20613 </w:instrText>
      </w:r>
      <w:r>
        <w:rPr>
          <w:rFonts w:hint="eastAsia" w:ascii="宋体" w:hAnsi="宋体" w:eastAsia="宋体" w:cs="宋体"/>
          <w:bCs/>
          <w:szCs w:val="24"/>
        </w:rPr>
        <w:fldChar w:fldCharType="separate"/>
      </w:r>
      <w:r>
        <w:rPr>
          <w:rFonts w:hint="eastAsia"/>
        </w:rPr>
        <w:t>1.1.1 任务来源</w:t>
      </w:r>
      <w:r>
        <w:tab/>
      </w:r>
      <w:r>
        <w:fldChar w:fldCharType="begin"/>
      </w:r>
      <w:r>
        <w:instrText xml:space="preserve"> PAGEREF _Toc20613 \h </w:instrText>
      </w:r>
      <w:r>
        <w:fldChar w:fldCharType="separate"/>
      </w:r>
      <w:r>
        <w:t>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5DC63B8">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_Toc22230 </w:instrText>
      </w:r>
      <w:r>
        <w:rPr>
          <w:rFonts w:hint="eastAsia" w:ascii="宋体" w:hAnsi="宋体" w:eastAsia="宋体" w:cs="宋体"/>
          <w:bCs/>
          <w:szCs w:val="24"/>
        </w:rPr>
        <w:fldChar w:fldCharType="separate"/>
      </w:r>
      <w:r>
        <w:rPr>
          <w:rFonts w:hint="eastAsia"/>
        </w:rPr>
        <w:t>1.1.2 收集资料</w:t>
      </w:r>
      <w:r>
        <w:tab/>
      </w:r>
      <w:r>
        <w:fldChar w:fldCharType="begin"/>
      </w:r>
      <w:r>
        <w:instrText xml:space="preserve"> PAGEREF _Toc22230 \h </w:instrText>
      </w:r>
      <w:r>
        <w:fldChar w:fldCharType="separate"/>
      </w:r>
      <w:r>
        <w:t>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463AC7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_Toc5351 </w:instrText>
      </w:r>
      <w:r>
        <w:rPr>
          <w:rFonts w:hint="eastAsia" w:ascii="宋体" w:hAnsi="宋体" w:eastAsia="宋体" w:cs="宋体"/>
          <w:bCs/>
          <w:szCs w:val="24"/>
        </w:rPr>
        <w:fldChar w:fldCharType="separate"/>
      </w:r>
      <w:r>
        <w:rPr>
          <w:rFonts w:hint="eastAsia"/>
        </w:rPr>
        <w:t>1.1.3 评价目的</w:t>
      </w:r>
      <w:r>
        <w:tab/>
      </w:r>
      <w:r>
        <w:fldChar w:fldCharType="begin"/>
      </w:r>
      <w:r>
        <w:instrText xml:space="preserve"> PAGEREF _Toc5351 \h </w:instrText>
      </w:r>
      <w:r>
        <w:fldChar w:fldCharType="separate"/>
      </w:r>
      <w:r>
        <w:t>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4192B58">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_Toc17297 </w:instrText>
      </w:r>
      <w:r>
        <w:rPr>
          <w:rFonts w:hint="eastAsia" w:ascii="宋体" w:hAnsi="宋体" w:eastAsia="宋体" w:cs="宋体"/>
          <w:bCs/>
          <w:szCs w:val="24"/>
        </w:rPr>
        <w:fldChar w:fldCharType="separate"/>
      </w:r>
      <w:r>
        <w:rPr>
          <w:rFonts w:hint="eastAsia"/>
        </w:rPr>
        <w:t>1.1.4 评价原则</w:t>
      </w:r>
      <w:r>
        <w:tab/>
      </w:r>
      <w:r>
        <w:fldChar w:fldCharType="begin"/>
      </w:r>
      <w:r>
        <w:instrText xml:space="preserve"> PAGEREF _Toc17297 \h </w:instrText>
      </w:r>
      <w:r>
        <w:fldChar w:fldCharType="separate"/>
      </w:r>
      <w:r>
        <w:t>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2D6726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_Toc10540 </w:instrText>
      </w:r>
      <w:r>
        <w:rPr>
          <w:rFonts w:hint="eastAsia" w:ascii="宋体" w:hAnsi="宋体" w:eastAsia="宋体" w:cs="宋体"/>
          <w:bCs/>
          <w:szCs w:val="24"/>
        </w:rPr>
        <w:fldChar w:fldCharType="separate"/>
      </w:r>
      <w:r>
        <w:rPr>
          <w:rFonts w:hint="eastAsia"/>
        </w:rPr>
        <w:t>1.2 评价对象及范围</w:t>
      </w:r>
      <w:r>
        <w:tab/>
      </w:r>
      <w:r>
        <w:fldChar w:fldCharType="begin"/>
      </w:r>
      <w:r>
        <w:instrText xml:space="preserve"> PAGEREF _Toc10540 \h </w:instrText>
      </w:r>
      <w:r>
        <w:fldChar w:fldCharType="separate"/>
      </w:r>
      <w:r>
        <w:t>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3FD058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_Toc24324 </w:instrText>
      </w:r>
      <w:r>
        <w:rPr>
          <w:rFonts w:hint="eastAsia" w:ascii="宋体" w:hAnsi="宋体" w:eastAsia="宋体" w:cs="宋体"/>
          <w:bCs/>
          <w:szCs w:val="24"/>
        </w:rPr>
        <w:fldChar w:fldCharType="separate"/>
      </w:r>
      <w:r>
        <w:rPr>
          <w:rFonts w:hint="eastAsia"/>
        </w:rPr>
        <w:t>1.3 评价依据</w:t>
      </w:r>
      <w:r>
        <w:tab/>
      </w:r>
      <w:r>
        <w:fldChar w:fldCharType="begin"/>
      </w:r>
      <w:r>
        <w:instrText xml:space="preserve"> PAGEREF _Toc24324 \h </w:instrText>
      </w:r>
      <w:r>
        <w:fldChar w:fldCharType="separate"/>
      </w:r>
      <w:r>
        <w:t>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6F7DBB0">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_Toc5939 </w:instrText>
      </w:r>
      <w:r>
        <w:rPr>
          <w:rFonts w:hint="eastAsia" w:ascii="宋体" w:hAnsi="宋体" w:eastAsia="宋体" w:cs="宋体"/>
          <w:bCs/>
          <w:szCs w:val="24"/>
        </w:rPr>
        <w:fldChar w:fldCharType="separate"/>
      </w:r>
      <w:r>
        <w:rPr>
          <w:rFonts w:hint="eastAsia"/>
        </w:rPr>
        <w:t xml:space="preserve">1.3.1 </w:t>
      </w:r>
      <w:r>
        <w:t>国家法律</w:t>
      </w:r>
      <w:r>
        <w:tab/>
      </w:r>
      <w:r>
        <w:fldChar w:fldCharType="begin"/>
      </w:r>
      <w:r>
        <w:instrText xml:space="preserve"> PAGEREF _Toc5939 \h </w:instrText>
      </w:r>
      <w:r>
        <w:fldChar w:fldCharType="separate"/>
      </w:r>
      <w:r>
        <w:t>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D6F4966">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_Toc30828 </w:instrText>
      </w:r>
      <w:r>
        <w:rPr>
          <w:rFonts w:hint="eastAsia" w:ascii="宋体" w:hAnsi="宋体" w:eastAsia="宋体" w:cs="宋体"/>
          <w:bCs/>
          <w:szCs w:val="24"/>
        </w:rPr>
        <w:fldChar w:fldCharType="separate"/>
      </w:r>
      <w:r>
        <w:rPr>
          <w:rFonts w:hint="eastAsia"/>
        </w:rPr>
        <w:t>1.3.2 行政法规</w:t>
      </w:r>
      <w:r>
        <w:tab/>
      </w:r>
      <w:r>
        <w:fldChar w:fldCharType="begin"/>
      </w:r>
      <w:r>
        <w:instrText xml:space="preserve"> PAGEREF _Toc30828 \h </w:instrText>
      </w:r>
      <w:r>
        <w:fldChar w:fldCharType="separate"/>
      </w:r>
      <w:r>
        <w:t>3</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C1DFCC9">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_Toc12962 </w:instrText>
      </w:r>
      <w:r>
        <w:rPr>
          <w:rFonts w:hint="eastAsia" w:ascii="宋体" w:hAnsi="宋体" w:eastAsia="宋体" w:cs="宋体"/>
          <w:bCs/>
          <w:szCs w:val="24"/>
        </w:rPr>
        <w:fldChar w:fldCharType="separate"/>
      </w:r>
      <w:r>
        <w:rPr>
          <w:rFonts w:hint="eastAsia"/>
        </w:rPr>
        <w:t>1.3.3 部门规章及规范性文件</w:t>
      </w:r>
      <w:r>
        <w:tab/>
      </w:r>
      <w:r>
        <w:fldChar w:fldCharType="begin"/>
      </w:r>
      <w:r>
        <w:instrText xml:space="preserve"> PAGEREF _Toc12962 \h </w:instrText>
      </w:r>
      <w:r>
        <w:fldChar w:fldCharType="separate"/>
      </w:r>
      <w:r>
        <w:t>3</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FB17B8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_Toc14541 </w:instrText>
      </w:r>
      <w:r>
        <w:rPr>
          <w:rFonts w:hint="eastAsia" w:ascii="宋体" w:hAnsi="宋体" w:eastAsia="宋体" w:cs="宋体"/>
          <w:bCs/>
          <w:szCs w:val="24"/>
        </w:rPr>
        <w:fldChar w:fldCharType="separate"/>
      </w:r>
      <w:r>
        <w:rPr>
          <w:rFonts w:hint="eastAsia"/>
        </w:rPr>
        <w:t>1.3.4 地方性法规及规定</w:t>
      </w:r>
      <w:r>
        <w:tab/>
      </w:r>
      <w:r>
        <w:fldChar w:fldCharType="begin"/>
      </w:r>
      <w:r>
        <w:instrText xml:space="preserve"> PAGEREF _Toc14541 \h </w:instrText>
      </w:r>
      <w:r>
        <w:fldChar w:fldCharType="separate"/>
      </w:r>
      <w:r>
        <w:t>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782B1F2">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_Toc23700 </w:instrText>
      </w:r>
      <w:r>
        <w:rPr>
          <w:rFonts w:hint="eastAsia" w:ascii="宋体" w:hAnsi="宋体" w:eastAsia="宋体" w:cs="宋体"/>
          <w:bCs/>
          <w:szCs w:val="24"/>
        </w:rPr>
        <w:fldChar w:fldCharType="separate"/>
      </w:r>
      <w:r>
        <w:rPr>
          <w:rFonts w:hint="eastAsia"/>
        </w:rPr>
        <w:t>1.3.5 国家</w:t>
      </w:r>
      <w:r>
        <w:t>标准</w:t>
      </w:r>
      <w:r>
        <w:tab/>
      </w:r>
      <w:r>
        <w:fldChar w:fldCharType="begin"/>
      </w:r>
      <w:r>
        <w:instrText xml:space="preserve"> PAGEREF _Toc23700 \h </w:instrText>
      </w:r>
      <w:r>
        <w:fldChar w:fldCharType="separate"/>
      </w:r>
      <w:r>
        <w:t>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D3F7B9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_Toc4185 </w:instrText>
      </w:r>
      <w:r>
        <w:rPr>
          <w:rFonts w:hint="eastAsia" w:ascii="宋体" w:hAnsi="宋体" w:eastAsia="宋体" w:cs="宋体"/>
          <w:bCs/>
          <w:szCs w:val="24"/>
        </w:rPr>
        <w:fldChar w:fldCharType="separate"/>
      </w:r>
      <w:r>
        <w:rPr>
          <w:rFonts w:hint="eastAsia"/>
        </w:rPr>
        <w:t>1.3.6 安全</w:t>
      </w:r>
      <w:r>
        <w:t>标准</w:t>
      </w:r>
      <w:r>
        <w:tab/>
      </w:r>
      <w:r>
        <w:fldChar w:fldCharType="begin"/>
      </w:r>
      <w:r>
        <w:instrText xml:space="preserve"> PAGEREF _Toc4185 \h </w:instrText>
      </w:r>
      <w:r>
        <w:fldChar w:fldCharType="separate"/>
      </w:r>
      <w:r>
        <w:t>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BF06F9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_Toc4591 </w:instrText>
      </w:r>
      <w:r>
        <w:rPr>
          <w:rFonts w:hint="eastAsia" w:ascii="宋体" w:hAnsi="宋体" w:eastAsia="宋体" w:cs="宋体"/>
          <w:bCs/>
          <w:szCs w:val="24"/>
        </w:rPr>
        <w:fldChar w:fldCharType="separate"/>
      </w:r>
      <w:r>
        <w:rPr>
          <w:rFonts w:hint="eastAsia"/>
        </w:rPr>
        <w:t>1.3.7 行业</w:t>
      </w:r>
      <w:r>
        <w:t>标准</w:t>
      </w:r>
      <w:r>
        <w:tab/>
      </w:r>
      <w:r>
        <w:fldChar w:fldCharType="begin"/>
      </w:r>
      <w:r>
        <w:instrText xml:space="preserve"> PAGEREF _Toc4591 \h </w:instrText>
      </w:r>
      <w:r>
        <w:fldChar w:fldCharType="separate"/>
      </w:r>
      <w:r>
        <w:t>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248BC2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_Toc2029 </w:instrText>
      </w:r>
      <w:r>
        <w:rPr>
          <w:rFonts w:hint="eastAsia" w:ascii="宋体" w:hAnsi="宋体" w:eastAsia="宋体" w:cs="宋体"/>
          <w:bCs/>
          <w:szCs w:val="24"/>
        </w:rPr>
        <w:fldChar w:fldCharType="separate"/>
      </w:r>
      <w:r>
        <w:rPr>
          <w:rFonts w:hint="eastAsia"/>
        </w:rPr>
        <w:t>1.4 工作经过和程序</w:t>
      </w:r>
      <w:r>
        <w:tab/>
      </w:r>
      <w:r>
        <w:fldChar w:fldCharType="begin"/>
      </w:r>
      <w:r>
        <w:instrText xml:space="preserve"> PAGEREF _Toc2029 \h </w:instrText>
      </w:r>
      <w:r>
        <w:fldChar w:fldCharType="separate"/>
      </w:r>
      <w:r>
        <w:t>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C200C78">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_Toc355 </w:instrText>
      </w:r>
      <w:r>
        <w:rPr>
          <w:rFonts w:hint="eastAsia" w:ascii="宋体" w:hAnsi="宋体" w:eastAsia="宋体" w:cs="宋体"/>
          <w:bCs/>
          <w:szCs w:val="24"/>
        </w:rPr>
        <w:fldChar w:fldCharType="separate"/>
      </w:r>
      <w:r>
        <w:rPr>
          <w:rFonts w:hint="eastAsia"/>
        </w:rPr>
        <w:t>1.5 评价基准日</w:t>
      </w:r>
      <w:r>
        <w:tab/>
      </w:r>
      <w:r>
        <w:fldChar w:fldCharType="begin"/>
      </w:r>
      <w:r>
        <w:instrText xml:space="preserve"> PAGEREF _Toc355 \h </w:instrText>
      </w:r>
      <w:r>
        <w:fldChar w:fldCharType="separate"/>
      </w:r>
      <w:r>
        <w:t>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F949CC7">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_Toc24474 </w:instrText>
      </w:r>
      <w:r>
        <w:rPr>
          <w:rFonts w:hint="eastAsia" w:ascii="宋体" w:hAnsi="宋体" w:eastAsia="宋体" w:cs="宋体"/>
          <w:bCs/>
          <w:szCs w:val="24"/>
        </w:rPr>
        <w:fldChar w:fldCharType="separate"/>
      </w:r>
      <w:r>
        <w:rPr>
          <w:rFonts w:hint="eastAsia"/>
        </w:rPr>
        <w:t>第2章 加油站概况</w:t>
      </w:r>
      <w:r>
        <w:tab/>
      </w:r>
      <w:r>
        <w:fldChar w:fldCharType="begin"/>
      </w:r>
      <w:r>
        <w:instrText xml:space="preserve"> PAGEREF _Toc24474 \h </w:instrText>
      </w:r>
      <w:r>
        <w:fldChar w:fldCharType="separate"/>
      </w:r>
      <w:r>
        <w:t>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433C7FE">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_Toc3676 </w:instrText>
      </w:r>
      <w:r>
        <w:rPr>
          <w:rFonts w:hint="eastAsia" w:ascii="宋体" w:hAnsi="宋体" w:eastAsia="宋体" w:cs="宋体"/>
          <w:bCs/>
          <w:szCs w:val="24"/>
        </w:rPr>
        <w:fldChar w:fldCharType="separate"/>
      </w:r>
      <w:r>
        <w:rPr>
          <w:rFonts w:hint="eastAsia"/>
        </w:rPr>
        <w:t>2.1 加油站基本概况</w:t>
      </w:r>
      <w:r>
        <w:t>简介</w:t>
      </w:r>
      <w:r>
        <w:tab/>
      </w:r>
      <w:r>
        <w:fldChar w:fldCharType="begin"/>
      </w:r>
      <w:r>
        <w:instrText xml:space="preserve"> PAGEREF _Toc3676 \h </w:instrText>
      </w:r>
      <w:r>
        <w:fldChar w:fldCharType="separate"/>
      </w:r>
      <w:r>
        <w:t>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277E33E">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_Toc27221 </w:instrText>
      </w:r>
      <w:r>
        <w:rPr>
          <w:rFonts w:hint="eastAsia" w:ascii="宋体" w:hAnsi="宋体" w:eastAsia="宋体" w:cs="宋体"/>
          <w:bCs/>
          <w:szCs w:val="24"/>
        </w:rPr>
        <w:fldChar w:fldCharType="separate"/>
      </w:r>
      <w:r>
        <w:rPr>
          <w:rFonts w:hint="eastAsia"/>
        </w:rPr>
        <w:t xml:space="preserve">2.2 </w:t>
      </w:r>
      <w:r>
        <w:t>地理位置及交通条件</w:t>
      </w:r>
      <w:r>
        <w:tab/>
      </w:r>
      <w:r>
        <w:fldChar w:fldCharType="begin"/>
      </w:r>
      <w:r>
        <w:instrText xml:space="preserve"> PAGEREF _Toc27221 \h </w:instrText>
      </w:r>
      <w:r>
        <w:fldChar w:fldCharType="separate"/>
      </w:r>
      <w:r>
        <w:t>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976095C">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_Toc4194 </w:instrText>
      </w:r>
      <w:r>
        <w:rPr>
          <w:rFonts w:hint="eastAsia" w:ascii="宋体" w:hAnsi="宋体" w:eastAsia="宋体" w:cs="宋体"/>
          <w:bCs/>
          <w:szCs w:val="24"/>
        </w:rPr>
        <w:fldChar w:fldCharType="separate"/>
      </w:r>
      <w:r>
        <w:rPr>
          <w:rFonts w:hint="eastAsia"/>
        </w:rPr>
        <w:t xml:space="preserve">2.3 </w:t>
      </w:r>
      <w:r>
        <w:t>自然条件</w:t>
      </w:r>
      <w:r>
        <w:tab/>
      </w:r>
      <w:r>
        <w:fldChar w:fldCharType="begin"/>
      </w:r>
      <w:r>
        <w:instrText xml:space="preserve"> PAGEREF _Toc4194 \h </w:instrText>
      </w:r>
      <w:r>
        <w:fldChar w:fldCharType="separate"/>
      </w:r>
      <w:r>
        <w:t>10</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167E04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_Toc22591 </w:instrText>
      </w:r>
      <w:r>
        <w:rPr>
          <w:rFonts w:hint="eastAsia" w:ascii="宋体" w:hAnsi="宋体" w:eastAsia="宋体" w:cs="宋体"/>
          <w:bCs/>
          <w:szCs w:val="24"/>
        </w:rPr>
        <w:fldChar w:fldCharType="separate"/>
      </w:r>
      <w:r>
        <w:rPr>
          <w:rFonts w:hint="eastAsia"/>
        </w:rPr>
        <w:t>2.3.1 地质地貌</w:t>
      </w:r>
      <w:r>
        <w:tab/>
      </w:r>
      <w:r>
        <w:fldChar w:fldCharType="begin"/>
      </w:r>
      <w:r>
        <w:instrText xml:space="preserve"> PAGEREF _Toc22591 \h </w:instrText>
      </w:r>
      <w:r>
        <w:fldChar w:fldCharType="separate"/>
      </w:r>
      <w:r>
        <w:t>10</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5BE89C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_Toc23244 </w:instrText>
      </w:r>
      <w:r>
        <w:rPr>
          <w:rFonts w:hint="eastAsia" w:ascii="宋体" w:hAnsi="宋体" w:eastAsia="宋体" w:cs="宋体"/>
          <w:bCs/>
          <w:szCs w:val="24"/>
        </w:rPr>
        <w:fldChar w:fldCharType="separate"/>
      </w:r>
      <w:r>
        <w:rPr>
          <w:rFonts w:hint="eastAsia"/>
        </w:rPr>
        <w:t>2.3.2 气象条件</w:t>
      </w:r>
      <w:r>
        <w:tab/>
      </w:r>
      <w:r>
        <w:fldChar w:fldCharType="begin"/>
      </w:r>
      <w:r>
        <w:instrText xml:space="preserve"> PAGEREF _Toc23244 \h </w:instrText>
      </w:r>
      <w:r>
        <w:fldChar w:fldCharType="separate"/>
      </w:r>
      <w:r>
        <w:t>11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FA9EE47">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_Toc27691 </w:instrText>
      </w:r>
      <w:r>
        <w:rPr>
          <w:rFonts w:hint="eastAsia" w:ascii="宋体" w:hAnsi="宋体" w:eastAsia="宋体" w:cs="宋体"/>
          <w:bCs/>
          <w:szCs w:val="24"/>
        </w:rPr>
        <w:fldChar w:fldCharType="separate"/>
      </w:r>
      <w:r>
        <w:rPr>
          <w:rFonts w:hint="eastAsia"/>
        </w:rPr>
        <w:t>2.3.3 地震条件</w:t>
      </w:r>
      <w:r>
        <w:tab/>
      </w:r>
      <w:r>
        <w:fldChar w:fldCharType="begin"/>
      </w:r>
      <w:r>
        <w:instrText xml:space="preserve"> PAGEREF _Toc27691 \h </w:instrText>
      </w:r>
      <w:r>
        <w:fldChar w:fldCharType="separate"/>
      </w:r>
      <w:r>
        <w:t>11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B1F1D33">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_Toc13995 </w:instrText>
      </w:r>
      <w:r>
        <w:rPr>
          <w:rFonts w:hint="eastAsia" w:ascii="宋体" w:hAnsi="宋体" w:eastAsia="宋体" w:cs="宋体"/>
          <w:bCs/>
          <w:szCs w:val="24"/>
        </w:rPr>
        <w:fldChar w:fldCharType="separate"/>
      </w:r>
      <w:r>
        <w:rPr>
          <w:rFonts w:hint="eastAsia"/>
        </w:rPr>
        <w:t>2.4 加油站</w:t>
      </w:r>
      <w:r>
        <w:t>周边情况</w:t>
      </w:r>
      <w:r>
        <w:tab/>
      </w:r>
      <w:r>
        <w:fldChar w:fldCharType="begin"/>
      </w:r>
      <w:r>
        <w:instrText xml:space="preserve"> PAGEREF _Toc13995 \h </w:instrText>
      </w:r>
      <w:r>
        <w:fldChar w:fldCharType="separate"/>
      </w:r>
      <w:r>
        <w:t>11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5F0449B">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_Toc15942 </w:instrText>
      </w:r>
      <w:r>
        <w:rPr>
          <w:rFonts w:hint="eastAsia" w:ascii="宋体" w:hAnsi="宋体" w:eastAsia="宋体" w:cs="宋体"/>
          <w:bCs/>
          <w:szCs w:val="24"/>
        </w:rPr>
        <w:fldChar w:fldCharType="separate"/>
      </w:r>
      <w:r>
        <w:rPr>
          <w:rFonts w:hint="eastAsia"/>
        </w:rPr>
        <w:t xml:space="preserve">2.5 </w:t>
      </w:r>
      <w:r>
        <w:t>平面布置</w:t>
      </w:r>
      <w:r>
        <w:tab/>
      </w:r>
      <w:r>
        <w:fldChar w:fldCharType="begin"/>
      </w:r>
      <w:r>
        <w:instrText xml:space="preserve"> PAGEREF _Toc15942 \h </w:instrText>
      </w:r>
      <w:r>
        <w:fldChar w:fldCharType="separate"/>
      </w:r>
      <w:r>
        <w:t>16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891B62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_Toc2383 </w:instrText>
      </w:r>
      <w:r>
        <w:rPr>
          <w:rFonts w:hint="eastAsia" w:ascii="宋体" w:hAnsi="宋体" w:eastAsia="宋体" w:cs="宋体"/>
          <w:bCs/>
          <w:szCs w:val="24"/>
        </w:rPr>
        <w:fldChar w:fldCharType="separate"/>
      </w:r>
      <w:r>
        <w:rPr>
          <w:rFonts w:hint="eastAsia"/>
        </w:rPr>
        <w:t xml:space="preserve">2.6 </w:t>
      </w:r>
      <w:r>
        <w:t>加油站工艺</w:t>
      </w:r>
      <w:r>
        <w:rPr>
          <w:rFonts w:hint="eastAsia"/>
        </w:rPr>
        <w:t>流程</w:t>
      </w:r>
      <w:r>
        <w:tab/>
      </w:r>
      <w:r>
        <w:fldChar w:fldCharType="begin"/>
      </w:r>
      <w:r>
        <w:instrText xml:space="preserve"> PAGEREF _Toc2383 \h </w:instrText>
      </w:r>
      <w:r>
        <w:fldChar w:fldCharType="separate"/>
      </w:r>
      <w:r>
        <w:t>20</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B9B8163">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_Toc32017 </w:instrText>
      </w:r>
      <w:r>
        <w:rPr>
          <w:rFonts w:hint="eastAsia" w:ascii="宋体" w:hAnsi="宋体" w:eastAsia="宋体" w:cs="宋体"/>
          <w:bCs/>
          <w:szCs w:val="24"/>
        </w:rPr>
        <w:fldChar w:fldCharType="separate"/>
      </w:r>
      <w:r>
        <w:rPr>
          <w:rFonts w:hint="eastAsia"/>
        </w:rPr>
        <w:t xml:space="preserve">2.7 </w:t>
      </w:r>
      <w:r>
        <w:t>主要设施、设备及建构筑物</w:t>
      </w:r>
      <w:r>
        <w:tab/>
      </w:r>
      <w:r>
        <w:fldChar w:fldCharType="begin"/>
      </w:r>
      <w:r>
        <w:instrText xml:space="preserve"> PAGEREF _Toc32017 \h </w:instrText>
      </w:r>
      <w:r>
        <w:fldChar w:fldCharType="separate"/>
      </w:r>
      <w:r>
        <w:t>21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F156E26">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_Toc29670 </w:instrText>
      </w:r>
      <w:r>
        <w:rPr>
          <w:rFonts w:hint="eastAsia" w:ascii="宋体" w:hAnsi="宋体" w:eastAsia="宋体" w:cs="宋体"/>
          <w:bCs/>
          <w:szCs w:val="24"/>
        </w:rPr>
        <w:fldChar w:fldCharType="separate"/>
      </w:r>
      <w:r>
        <w:rPr>
          <w:rFonts w:hint="eastAsia"/>
        </w:rPr>
        <w:t xml:space="preserve">2.7.1 </w:t>
      </w:r>
      <w:r>
        <w:t>建、构筑物</w:t>
      </w:r>
      <w:r>
        <w:tab/>
      </w:r>
      <w:r>
        <w:fldChar w:fldCharType="begin"/>
      </w:r>
      <w:r>
        <w:instrText xml:space="preserve"> PAGEREF _Toc29670 \h </w:instrText>
      </w:r>
      <w:r>
        <w:fldChar w:fldCharType="separate"/>
      </w:r>
      <w:r>
        <w:t>21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C04BE70">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_Toc26375 </w:instrText>
      </w:r>
      <w:r>
        <w:rPr>
          <w:rFonts w:hint="eastAsia" w:ascii="宋体" w:hAnsi="宋体" w:eastAsia="宋体" w:cs="宋体"/>
          <w:bCs/>
          <w:szCs w:val="24"/>
        </w:rPr>
        <w:fldChar w:fldCharType="separate"/>
      </w:r>
      <w:r>
        <w:rPr>
          <w:rFonts w:hint="eastAsia"/>
        </w:rPr>
        <w:t xml:space="preserve">2.7.2 </w:t>
      </w:r>
      <w:r>
        <w:t>主要设备</w:t>
      </w:r>
      <w:r>
        <w:tab/>
      </w:r>
      <w:r>
        <w:fldChar w:fldCharType="begin"/>
      </w:r>
      <w:r>
        <w:instrText xml:space="preserve"> PAGEREF _Toc26375 \h </w:instrText>
      </w:r>
      <w:r>
        <w:fldChar w:fldCharType="separate"/>
      </w:r>
      <w:r>
        <w:t>21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DEB767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_Toc23797 </w:instrText>
      </w:r>
      <w:r>
        <w:rPr>
          <w:rFonts w:hint="eastAsia" w:ascii="宋体" w:hAnsi="宋体" w:eastAsia="宋体" w:cs="宋体"/>
          <w:bCs/>
          <w:szCs w:val="24"/>
        </w:rPr>
        <w:fldChar w:fldCharType="separate"/>
      </w:r>
      <w:r>
        <w:rPr>
          <w:rFonts w:hint="eastAsia"/>
        </w:rPr>
        <w:t xml:space="preserve">2.8 </w:t>
      </w:r>
      <w:r>
        <w:t>公用工程及辅助设施</w:t>
      </w:r>
      <w:r>
        <w:tab/>
      </w:r>
      <w:r>
        <w:fldChar w:fldCharType="begin"/>
      </w:r>
      <w:r>
        <w:instrText xml:space="preserve"> PAGEREF _Toc23797 \h </w:instrText>
      </w:r>
      <w:r>
        <w:fldChar w:fldCharType="separate"/>
      </w:r>
      <w:r>
        <w:t>21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5295DA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_Toc19114 </w:instrText>
      </w:r>
      <w:r>
        <w:rPr>
          <w:rFonts w:hint="eastAsia" w:ascii="宋体" w:hAnsi="宋体" w:eastAsia="宋体" w:cs="宋体"/>
          <w:bCs/>
          <w:szCs w:val="24"/>
        </w:rPr>
        <w:fldChar w:fldCharType="separate"/>
      </w:r>
      <w:r>
        <w:rPr>
          <w:rFonts w:hint="eastAsia"/>
        </w:rPr>
        <w:t xml:space="preserve">2.8.1 </w:t>
      </w:r>
      <w:r>
        <w:t>供配电</w:t>
      </w:r>
      <w:r>
        <w:tab/>
      </w:r>
      <w:r>
        <w:fldChar w:fldCharType="begin"/>
      </w:r>
      <w:r>
        <w:instrText xml:space="preserve"> PAGEREF _Toc19114 \h </w:instrText>
      </w:r>
      <w:r>
        <w:fldChar w:fldCharType="separate"/>
      </w:r>
      <w:r>
        <w:t>21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68359F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_Toc6847 </w:instrText>
      </w:r>
      <w:r>
        <w:rPr>
          <w:rFonts w:hint="eastAsia" w:ascii="宋体" w:hAnsi="宋体" w:eastAsia="宋体" w:cs="宋体"/>
          <w:bCs/>
          <w:szCs w:val="24"/>
        </w:rPr>
        <w:fldChar w:fldCharType="separate"/>
      </w:r>
      <w:r>
        <w:rPr>
          <w:rFonts w:hint="eastAsia"/>
        </w:rPr>
        <w:t xml:space="preserve">2.8.2 </w:t>
      </w:r>
      <w:r>
        <w:t>给排水</w:t>
      </w:r>
      <w:r>
        <w:tab/>
      </w:r>
      <w:r>
        <w:fldChar w:fldCharType="begin"/>
      </w:r>
      <w:r>
        <w:instrText xml:space="preserve"> PAGEREF _Toc6847 \h </w:instrText>
      </w:r>
      <w:r>
        <w:fldChar w:fldCharType="separate"/>
      </w:r>
      <w:r>
        <w:t>22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3C907F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_Toc2000 </w:instrText>
      </w:r>
      <w:r>
        <w:rPr>
          <w:rFonts w:hint="eastAsia" w:ascii="宋体" w:hAnsi="宋体" w:eastAsia="宋体" w:cs="宋体"/>
          <w:bCs/>
          <w:szCs w:val="24"/>
        </w:rPr>
        <w:fldChar w:fldCharType="separate"/>
      </w:r>
      <w:r>
        <w:rPr>
          <w:rFonts w:hint="eastAsia"/>
        </w:rPr>
        <w:t xml:space="preserve">2.9 </w:t>
      </w:r>
      <w:r>
        <w:t>安全设施</w:t>
      </w:r>
      <w:r>
        <w:tab/>
      </w:r>
      <w:r>
        <w:fldChar w:fldCharType="begin"/>
      </w:r>
      <w:r>
        <w:instrText xml:space="preserve"> PAGEREF _Toc2000 \h </w:instrText>
      </w:r>
      <w:r>
        <w:fldChar w:fldCharType="separate"/>
      </w:r>
      <w:r>
        <w:t>22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17C134A">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_Toc28128 </w:instrText>
      </w:r>
      <w:r>
        <w:rPr>
          <w:rFonts w:hint="eastAsia" w:ascii="宋体" w:hAnsi="宋体" w:eastAsia="宋体" w:cs="宋体"/>
          <w:bCs/>
          <w:szCs w:val="24"/>
        </w:rPr>
        <w:fldChar w:fldCharType="separate"/>
      </w:r>
      <w:r>
        <w:rPr>
          <w:rFonts w:hint="eastAsia"/>
        </w:rPr>
        <w:t xml:space="preserve">2.9.1 </w:t>
      </w:r>
      <w:r>
        <w:t>预防事故设施</w:t>
      </w:r>
      <w:r>
        <w:tab/>
      </w:r>
      <w:r>
        <w:fldChar w:fldCharType="begin"/>
      </w:r>
      <w:r>
        <w:instrText xml:space="preserve"> PAGEREF _Toc28128 \h </w:instrText>
      </w:r>
      <w:r>
        <w:fldChar w:fldCharType="separate"/>
      </w:r>
      <w:r>
        <w:t>22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A0617D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_Toc9306 </w:instrText>
      </w:r>
      <w:r>
        <w:rPr>
          <w:rFonts w:hint="eastAsia" w:ascii="宋体" w:hAnsi="宋体" w:eastAsia="宋体" w:cs="宋体"/>
          <w:bCs/>
          <w:szCs w:val="24"/>
        </w:rPr>
        <w:fldChar w:fldCharType="separate"/>
      </w:r>
      <w:r>
        <w:rPr>
          <w:rFonts w:hint="eastAsia"/>
        </w:rPr>
        <w:t xml:space="preserve">2.9.2 </w:t>
      </w:r>
      <w:r>
        <w:t>控制事故设施</w:t>
      </w:r>
      <w:r>
        <w:tab/>
      </w:r>
      <w:r>
        <w:fldChar w:fldCharType="begin"/>
      </w:r>
      <w:r>
        <w:instrText xml:space="preserve"> PAGEREF _Toc9306 \h </w:instrText>
      </w:r>
      <w:r>
        <w:fldChar w:fldCharType="separate"/>
      </w:r>
      <w:r>
        <w:t>24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922AD17">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_Toc13720 </w:instrText>
      </w:r>
      <w:r>
        <w:rPr>
          <w:rFonts w:hint="eastAsia" w:ascii="宋体" w:hAnsi="宋体" w:eastAsia="宋体" w:cs="宋体"/>
          <w:bCs/>
          <w:szCs w:val="24"/>
        </w:rPr>
        <w:fldChar w:fldCharType="separate"/>
      </w:r>
      <w:r>
        <w:rPr>
          <w:rFonts w:hint="eastAsia"/>
        </w:rPr>
        <w:t xml:space="preserve">2.9.3 </w:t>
      </w:r>
      <w:r>
        <w:t>减少与消除影响事故设施</w:t>
      </w:r>
      <w:r>
        <w:tab/>
      </w:r>
      <w:r>
        <w:fldChar w:fldCharType="begin"/>
      </w:r>
      <w:r>
        <w:instrText xml:space="preserve"> PAGEREF _Toc13720 \h </w:instrText>
      </w:r>
      <w:r>
        <w:fldChar w:fldCharType="separate"/>
      </w:r>
      <w:r>
        <w:t>24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3A2247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_Toc22476 </w:instrText>
      </w:r>
      <w:r>
        <w:rPr>
          <w:rFonts w:hint="eastAsia" w:ascii="宋体" w:hAnsi="宋体" w:eastAsia="宋体" w:cs="宋体"/>
          <w:bCs/>
          <w:szCs w:val="24"/>
        </w:rPr>
        <w:fldChar w:fldCharType="separate"/>
      </w:r>
      <w:r>
        <w:rPr>
          <w:rFonts w:hint="eastAsia"/>
        </w:rPr>
        <w:t xml:space="preserve">2.10 </w:t>
      </w:r>
      <w:r>
        <w:t>安全管理</w:t>
      </w:r>
      <w:r>
        <w:tab/>
      </w:r>
      <w:r>
        <w:fldChar w:fldCharType="begin"/>
      </w:r>
      <w:r>
        <w:instrText xml:space="preserve"> PAGEREF _Toc22476 \h </w:instrText>
      </w:r>
      <w:r>
        <w:fldChar w:fldCharType="separate"/>
      </w:r>
      <w:r>
        <w:t>25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0D7FDD7">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_Toc21405 </w:instrText>
      </w:r>
      <w:r>
        <w:rPr>
          <w:rFonts w:hint="eastAsia" w:ascii="宋体" w:hAnsi="宋体" w:eastAsia="宋体" w:cs="宋体"/>
          <w:bCs/>
          <w:szCs w:val="24"/>
        </w:rPr>
        <w:fldChar w:fldCharType="separate"/>
      </w:r>
      <w:r>
        <w:rPr>
          <w:rFonts w:hint="eastAsia"/>
        </w:rPr>
        <w:t xml:space="preserve">2.10.1 </w:t>
      </w:r>
      <w:r>
        <w:t>组织机构及人员</w:t>
      </w:r>
      <w:r>
        <w:tab/>
      </w:r>
      <w:r>
        <w:fldChar w:fldCharType="begin"/>
      </w:r>
      <w:r>
        <w:instrText xml:space="preserve"> PAGEREF _Toc21405 \h </w:instrText>
      </w:r>
      <w:r>
        <w:fldChar w:fldCharType="separate"/>
      </w:r>
      <w:r>
        <w:t>25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135709A">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_Toc19534 </w:instrText>
      </w:r>
      <w:r>
        <w:rPr>
          <w:rFonts w:hint="eastAsia" w:ascii="宋体" w:hAnsi="宋体" w:eastAsia="宋体" w:cs="宋体"/>
          <w:bCs/>
          <w:szCs w:val="24"/>
        </w:rPr>
        <w:fldChar w:fldCharType="separate"/>
      </w:r>
      <w:r>
        <w:rPr>
          <w:rFonts w:hint="eastAsia"/>
        </w:rPr>
        <w:t xml:space="preserve">2.10.2 </w:t>
      </w:r>
      <w:r>
        <w:t>安全生产责任制</w:t>
      </w:r>
      <w:r>
        <w:tab/>
      </w:r>
      <w:r>
        <w:fldChar w:fldCharType="begin"/>
      </w:r>
      <w:r>
        <w:instrText xml:space="preserve"> PAGEREF _Toc19534 \h </w:instrText>
      </w:r>
      <w:r>
        <w:fldChar w:fldCharType="separate"/>
      </w:r>
      <w:r>
        <w:t>26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ECA65F1">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_Toc9082 </w:instrText>
      </w:r>
      <w:r>
        <w:rPr>
          <w:rFonts w:hint="eastAsia" w:ascii="宋体" w:hAnsi="宋体" w:eastAsia="宋体" w:cs="宋体"/>
          <w:bCs/>
          <w:szCs w:val="24"/>
        </w:rPr>
        <w:fldChar w:fldCharType="separate"/>
      </w:r>
      <w:r>
        <w:rPr>
          <w:rFonts w:hint="eastAsia"/>
        </w:rPr>
        <w:t xml:space="preserve">2.10.3 </w:t>
      </w:r>
      <w:r>
        <w:t>安全管理制度</w:t>
      </w:r>
      <w:r>
        <w:tab/>
      </w:r>
      <w:r>
        <w:fldChar w:fldCharType="begin"/>
      </w:r>
      <w:r>
        <w:instrText xml:space="preserve"> PAGEREF _Toc9082 \h </w:instrText>
      </w:r>
      <w:r>
        <w:fldChar w:fldCharType="separate"/>
      </w:r>
      <w:r>
        <w:t>26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56BBE31">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_Toc2345 </w:instrText>
      </w:r>
      <w:r>
        <w:rPr>
          <w:rFonts w:hint="eastAsia" w:ascii="宋体" w:hAnsi="宋体" w:eastAsia="宋体" w:cs="宋体"/>
          <w:bCs/>
          <w:szCs w:val="24"/>
        </w:rPr>
        <w:fldChar w:fldCharType="separate"/>
      </w:r>
      <w:r>
        <w:rPr>
          <w:rFonts w:hint="eastAsia"/>
        </w:rPr>
        <w:t xml:space="preserve">2.10.4 </w:t>
      </w:r>
      <w:r>
        <w:t>安全操作规程</w:t>
      </w:r>
      <w:r>
        <w:tab/>
      </w:r>
      <w:r>
        <w:fldChar w:fldCharType="begin"/>
      </w:r>
      <w:r>
        <w:instrText xml:space="preserve"> PAGEREF _Toc2345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646C71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_Toc18869 </w:instrText>
      </w:r>
      <w:r>
        <w:rPr>
          <w:rFonts w:hint="eastAsia" w:ascii="宋体" w:hAnsi="宋体" w:eastAsia="宋体" w:cs="宋体"/>
          <w:bCs/>
          <w:szCs w:val="24"/>
        </w:rPr>
        <w:fldChar w:fldCharType="separate"/>
      </w:r>
      <w:r>
        <w:rPr>
          <w:rFonts w:hint="eastAsia"/>
        </w:rPr>
        <w:t>2.10.5 工作制度</w:t>
      </w:r>
      <w:r>
        <w:tab/>
      </w:r>
      <w:r>
        <w:fldChar w:fldCharType="begin"/>
      </w:r>
      <w:r>
        <w:instrText xml:space="preserve"> PAGEREF _Toc18869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1C8E07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_Toc22973 </w:instrText>
      </w:r>
      <w:r>
        <w:rPr>
          <w:rFonts w:hint="eastAsia" w:ascii="宋体" w:hAnsi="宋体" w:eastAsia="宋体" w:cs="宋体"/>
          <w:bCs/>
          <w:szCs w:val="24"/>
        </w:rPr>
        <w:fldChar w:fldCharType="separate"/>
      </w:r>
      <w:r>
        <w:rPr>
          <w:rFonts w:hint="eastAsia"/>
        </w:rPr>
        <w:t>2.10.6 安全管理台账</w:t>
      </w:r>
      <w:r>
        <w:tab/>
      </w:r>
      <w:r>
        <w:fldChar w:fldCharType="begin"/>
      </w:r>
      <w:r>
        <w:instrText xml:space="preserve"> PAGEREF _Toc22973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A4759B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_Toc338 </w:instrText>
      </w:r>
      <w:r>
        <w:rPr>
          <w:rFonts w:hint="eastAsia" w:ascii="宋体" w:hAnsi="宋体" w:eastAsia="宋体" w:cs="宋体"/>
          <w:bCs/>
          <w:szCs w:val="24"/>
        </w:rPr>
        <w:fldChar w:fldCharType="separate"/>
      </w:r>
      <w:r>
        <w:rPr>
          <w:rFonts w:hint="eastAsia"/>
        </w:rPr>
        <w:t>2.10.7 人员培训情况</w:t>
      </w:r>
      <w:r>
        <w:tab/>
      </w:r>
      <w:r>
        <w:fldChar w:fldCharType="begin"/>
      </w:r>
      <w:r>
        <w:instrText xml:space="preserve"> PAGEREF _Toc338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FE6DA55">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_Toc23929 </w:instrText>
      </w:r>
      <w:r>
        <w:rPr>
          <w:rFonts w:hint="eastAsia" w:ascii="宋体" w:hAnsi="宋体" w:eastAsia="宋体" w:cs="宋体"/>
          <w:bCs/>
          <w:szCs w:val="24"/>
        </w:rPr>
        <w:fldChar w:fldCharType="separate"/>
      </w:r>
      <w:r>
        <w:rPr>
          <w:rFonts w:hint="eastAsia"/>
        </w:rPr>
        <w:t xml:space="preserve">2.10.8 </w:t>
      </w:r>
      <w:r>
        <w:t>从业人员保险</w:t>
      </w:r>
      <w:r>
        <w:tab/>
      </w:r>
      <w:r>
        <w:fldChar w:fldCharType="begin"/>
      </w:r>
      <w:r>
        <w:instrText xml:space="preserve"> PAGEREF _Toc23929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F3CC7F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_Toc638 </w:instrText>
      </w:r>
      <w:r>
        <w:rPr>
          <w:rFonts w:hint="eastAsia" w:ascii="宋体" w:hAnsi="宋体" w:eastAsia="宋体" w:cs="宋体"/>
          <w:bCs/>
          <w:szCs w:val="24"/>
        </w:rPr>
        <w:fldChar w:fldCharType="separate"/>
      </w:r>
      <w:r>
        <w:rPr>
          <w:rFonts w:hint="eastAsia"/>
        </w:rPr>
        <w:t xml:space="preserve">2.10.9 </w:t>
      </w:r>
      <w:r>
        <w:t>安全投入情况</w:t>
      </w:r>
      <w:r>
        <w:tab/>
      </w:r>
      <w:r>
        <w:fldChar w:fldCharType="begin"/>
      </w:r>
      <w:r>
        <w:instrText xml:space="preserve"> PAGEREF _Toc638 \h </w:instrText>
      </w:r>
      <w:r>
        <w:fldChar w:fldCharType="separate"/>
      </w:r>
      <w:r>
        <w:t>28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209E98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_Toc4205 </w:instrText>
      </w:r>
      <w:r>
        <w:rPr>
          <w:rFonts w:hint="eastAsia" w:ascii="宋体" w:hAnsi="宋体" w:eastAsia="宋体" w:cs="宋体"/>
          <w:bCs/>
          <w:szCs w:val="24"/>
        </w:rPr>
        <w:fldChar w:fldCharType="separate"/>
      </w:r>
      <w:r>
        <w:rPr>
          <w:rFonts w:hint="eastAsia"/>
        </w:rPr>
        <w:t xml:space="preserve">2.11 </w:t>
      </w:r>
      <w:r>
        <w:t>应急管理</w:t>
      </w:r>
      <w:r>
        <w:tab/>
      </w:r>
      <w:r>
        <w:fldChar w:fldCharType="begin"/>
      </w:r>
      <w:r>
        <w:instrText xml:space="preserve"> PAGEREF _Toc4205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1795C8A">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_Toc13146 </w:instrText>
      </w:r>
      <w:r>
        <w:rPr>
          <w:rFonts w:hint="eastAsia" w:ascii="宋体" w:hAnsi="宋体" w:eastAsia="宋体" w:cs="宋体"/>
          <w:bCs/>
          <w:szCs w:val="24"/>
        </w:rPr>
        <w:fldChar w:fldCharType="separate"/>
      </w:r>
      <w:r>
        <w:rPr>
          <w:rFonts w:hint="eastAsia"/>
        </w:rPr>
        <w:t xml:space="preserve">2.11.1 </w:t>
      </w:r>
      <w:r>
        <w:t>应急预案</w:t>
      </w:r>
      <w:r>
        <w:tab/>
      </w:r>
      <w:r>
        <w:fldChar w:fldCharType="begin"/>
      </w:r>
      <w:r>
        <w:instrText xml:space="preserve"> PAGEREF _Toc13146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B41D1F3">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_Toc22873 </w:instrText>
      </w:r>
      <w:r>
        <w:rPr>
          <w:rFonts w:hint="eastAsia" w:ascii="宋体" w:hAnsi="宋体" w:eastAsia="宋体" w:cs="宋体"/>
          <w:bCs/>
          <w:szCs w:val="24"/>
        </w:rPr>
        <w:fldChar w:fldCharType="separate"/>
      </w:r>
      <w:r>
        <w:rPr>
          <w:rFonts w:hint="eastAsia"/>
        </w:rPr>
        <w:t xml:space="preserve">2.11.2 </w:t>
      </w:r>
      <w:r>
        <w:t>应急救援组织</w:t>
      </w:r>
      <w:r>
        <w:tab/>
      </w:r>
      <w:r>
        <w:fldChar w:fldCharType="begin"/>
      </w:r>
      <w:r>
        <w:instrText xml:space="preserve"> PAGEREF _Toc22873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9B20C7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_Toc7223 </w:instrText>
      </w:r>
      <w:r>
        <w:rPr>
          <w:rFonts w:hint="eastAsia" w:ascii="宋体" w:hAnsi="宋体" w:eastAsia="宋体" w:cs="宋体"/>
          <w:bCs/>
          <w:szCs w:val="24"/>
        </w:rPr>
        <w:fldChar w:fldCharType="separate"/>
      </w:r>
      <w:r>
        <w:rPr>
          <w:rFonts w:hint="eastAsia"/>
        </w:rPr>
        <w:t xml:space="preserve">2.11.3 </w:t>
      </w:r>
      <w:r>
        <w:t>器材配备</w:t>
      </w:r>
      <w:r>
        <w:tab/>
      </w:r>
      <w:r>
        <w:fldChar w:fldCharType="begin"/>
      </w:r>
      <w:r>
        <w:instrText xml:space="preserve"> PAGEREF _Toc7223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FCBBE6A">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_Toc20856 </w:instrText>
      </w:r>
      <w:r>
        <w:rPr>
          <w:rFonts w:hint="eastAsia" w:ascii="宋体" w:hAnsi="宋体" w:eastAsia="宋体" w:cs="宋体"/>
          <w:bCs/>
          <w:szCs w:val="24"/>
        </w:rPr>
        <w:fldChar w:fldCharType="separate"/>
      </w:r>
      <w:r>
        <w:rPr>
          <w:rFonts w:hint="eastAsia"/>
        </w:rPr>
        <w:t xml:space="preserve">2.11.4 </w:t>
      </w:r>
      <w:r>
        <w:t>演练情况</w:t>
      </w:r>
      <w:r>
        <w:tab/>
      </w:r>
      <w:r>
        <w:fldChar w:fldCharType="begin"/>
      </w:r>
      <w:r>
        <w:instrText xml:space="preserve"> PAGEREF _Toc20856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6A1285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_Toc8917 </w:instrText>
      </w:r>
      <w:r>
        <w:rPr>
          <w:rFonts w:hint="eastAsia" w:ascii="宋体" w:hAnsi="宋体" w:eastAsia="宋体" w:cs="宋体"/>
          <w:bCs/>
          <w:szCs w:val="24"/>
        </w:rPr>
        <w:fldChar w:fldCharType="separate"/>
      </w:r>
      <w:r>
        <w:rPr>
          <w:rFonts w:hint="eastAsia"/>
        </w:rPr>
        <w:t>2.12 安全生产标准化情况</w:t>
      </w:r>
      <w:r>
        <w:tab/>
      </w:r>
      <w:r>
        <w:fldChar w:fldCharType="begin"/>
      </w:r>
      <w:r>
        <w:instrText xml:space="preserve"> PAGEREF _Toc8917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C94CE4A">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_Toc23377 </w:instrText>
      </w:r>
      <w:r>
        <w:rPr>
          <w:rFonts w:hint="eastAsia" w:ascii="宋体" w:hAnsi="宋体" w:eastAsia="宋体" w:cs="宋体"/>
          <w:bCs/>
          <w:szCs w:val="24"/>
        </w:rPr>
        <w:fldChar w:fldCharType="separate"/>
      </w:r>
      <w:r>
        <w:rPr>
          <w:rFonts w:hint="eastAsia"/>
        </w:rPr>
        <w:t>2.13 取证以来的情况</w:t>
      </w:r>
      <w:r>
        <w:tab/>
      </w:r>
      <w:r>
        <w:fldChar w:fldCharType="begin"/>
      </w:r>
      <w:r>
        <w:instrText xml:space="preserve"> PAGEREF _Toc23377 \h </w:instrText>
      </w:r>
      <w:r>
        <w:fldChar w:fldCharType="separate"/>
      </w:r>
      <w:r>
        <w:t>29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0458795">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_Toc27732 </w:instrText>
      </w:r>
      <w:r>
        <w:rPr>
          <w:rFonts w:hint="eastAsia" w:ascii="宋体" w:hAnsi="宋体" w:eastAsia="宋体" w:cs="宋体"/>
          <w:bCs/>
          <w:szCs w:val="24"/>
        </w:rPr>
        <w:fldChar w:fldCharType="separate"/>
      </w:r>
      <w:r>
        <w:rPr>
          <w:rFonts w:hint="eastAsia"/>
        </w:rPr>
        <w:t>第3章 危险、有害因素的辨识结果及依据说明</w:t>
      </w:r>
      <w:r>
        <w:tab/>
      </w:r>
      <w:r>
        <w:fldChar w:fldCharType="begin"/>
      </w:r>
      <w:r>
        <w:instrText xml:space="preserve"> PAGEREF _Toc27732 \h </w:instrText>
      </w:r>
      <w:r>
        <w:fldChar w:fldCharType="separate"/>
      </w:r>
      <w:r>
        <w:t>31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72AF234">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_Toc2384 </w:instrText>
      </w:r>
      <w:r>
        <w:rPr>
          <w:rFonts w:hint="eastAsia" w:ascii="宋体" w:hAnsi="宋体" w:eastAsia="宋体" w:cs="宋体"/>
          <w:bCs/>
          <w:szCs w:val="24"/>
        </w:rPr>
        <w:fldChar w:fldCharType="separate"/>
      </w:r>
      <w:r>
        <w:rPr>
          <w:rFonts w:hint="eastAsia"/>
        </w:rPr>
        <w:t>3.1 危险、有害因素辨识与分析的依据</w:t>
      </w:r>
      <w:r>
        <w:tab/>
      </w:r>
      <w:r>
        <w:fldChar w:fldCharType="begin"/>
      </w:r>
      <w:r>
        <w:instrText xml:space="preserve"> PAGEREF _Toc2384 \h </w:instrText>
      </w:r>
      <w:r>
        <w:fldChar w:fldCharType="separate"/>
      </w:r>
      <w:r>
        <w:t>31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1DA45C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_Toc1023 </w:instrText>
      </w:r>
      <w:r>
        <w:rPr>
          <w:rFonts w:hint="eastAsia" w:ascii="宋体" w:hAnsi="宋体" w:eastAsia="宋体" w:cs="宋体"/>
          <w:bCs/>
          <w:szCs w:val="24"/>
        </w:rPr>
        <w:fldChar w:fldCharType="separate"/>
      </w:r>
      <w:r>
        <w:rPr>
          <w:rFonts w:hint="eastAsia"/>
        </w:rPr>
        <w:t>3.2 危险化学品特性</w:t>
      </w:r>
      <w:r>
        <w:tab/>
      </w:r>
      <w:r>
        <w:fldChar w:fldCharType="begin"/>
      </w:r>
      <w:r>
        <w:instrText xml:space="preserve"> PAGEREF _Toc1023 \h </w:instrText>
      </w:r>
      <w:r>
        <w:fldChar w:fldCharType="separate"/>
      </w:r>
      <w:r>
        <w:t>31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A96A9F2">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_Toc6652 </w:instrText>
      </w:r>
      <w:r>
        <w:rPr>
          <w:rFonts w:hint="eastAsia" w:ascii="宋体" w:hAnsi="宋体" w:eastAsia="宋体" w:cs="宋体"/>
          <w:bCs/>
          <w:szCs w:val="24"/>
        </w:rPr>
        <w:fldChar w:fldCharType="separate"/>
      </w:r>
      <w:r>
        <w:rPr>
          <w:rFonts w:hint="eastAsia"/>
        </w:rPr>
        <w:t>3.2.1 汽油危险特性</w:t>
      </w:r>
      <w:r>
        <w:tab/>
      </w:r>
      <w:r>
        <w:fldChar w:fldCharType="begin"/>
      </w:r>
      <w:r>
        <w:instrText xml:space="preserve"> PAGEREF _Toc6652 \h </w:instrText>
      </w:r>
      <w:r>
        <w:fldChar w:fldCharType="separate"/>
      </w:r>
      <w:r>
        <w:t>31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62920C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_Toc5399 </w:instrText>
      </w:r>
      <w:r>
        <w:rPr>
          <w:rFonts w:hint="eastAsia" w:ascii="宋体" w:hAnsi="宋体" w:eastAsia="宋体" w:cs="宋体"/>
          <w:bCs/>
          <w:szCs w:val="24"/>
        </w:rPr>
        <w:fldChar w:fldCharType="separate"/>
      </w:r>
      <w:r>
        <w:rPr>
          <w:rFonts w:hint="eastAsia"/>
        </w:rPr>
        <w:t>3.2.2 柴油的危险特性</w:t>
      </w:r>
      <w:r>
        <w:tab/>
      </w:r>
      <w:r>
        <w:fldChar w:fldCharType="begin"/>
      </w:r>
      <w:r>
        <w:instrText xml:space="preserve"> PAGEREF _Toc5399 \h </w:instrText>
      </w:r>
      <w:r>
        <w:fldChar w:fldCharType="separate"/>
      </w:r>
      <w:r>
        <w:t>33</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15BEF6C">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_Toc16129 </w:instrText>
      </w:r>
      <w:r>
        <w:rPr>
          <w:rFonts w:hint="eastAsia" w:ascii="宋体" w:hAnsi="宋体" w:eastAsia="宋体" w:cs="宋体"/>
          <w:bCs/>
          <w:szCs w:val="24"/>
        </w:rPr>
        <w:fldChar w:fldCharType="separate"/>
      </w:r>
      <w:r>
        <w:rPr>
          <w:rFonts w:hint="eastAsia"/>
        </w:rPr>
        <w:t>3.3 危险、有害因素分析</w:t>
      </w:r>
      <w:r>
        <w:tab/>
      </w:r>
      <w:r>
        <w:fldChar w:fldCharType="begin"/>
      </w:r>
      <w:r>
        <w:instrText xml:space="preserve"> PAGEREF _Toc16129 \h </w:instrText>
      </w:r>
      <w:r>
        <w:fldChar w:fldCharType="separate"/>
      </w:r>
      <w:r>
        <w:t>35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3E36132">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_Toc14404 </w:instrText>
      </w:r>
      <w:r>
        <w:rPr>
          <w:rFonts w:hint="eastAsia" w:ascii="宋体" w:hAnsi="宋体" w:eastAsia="宋体" w:cs="宋体"/>
          <w:bCs/>
          <w:szCs w:val="24"/>
        </w:rPr>
        <w:fldChar w:fldCharType="separate"/>
      </w:r>
      <w:r>
        <w:rPr>
          <w:rFonts w:hint="eastAsia"/>
        </w:rPr>
        <w:t>3.3.1 危险产生的原因</w:t>
      </w:r>
      <w:r>
        <w:tab/>
      </w:r>
      <w:r>
        <w:fldChar w:fldCharType="begin"/>
      </w:r>
      <w:r>
        <w:instrText xml:space="preserve"> PAGEREF _Toc14404 \h </w:instrText>
      </w:r>
      <w:r>
        <w:fldChar w:fldCharType="separate"/>
      </w:r>
      <w:r>
        <w:t>35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FF11561">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_Toc19817 </w:instrText>
      </w:r>
      <w:r>
        <w:rPr>
          <w:rFonts w:hint="eastAsia" w:ascii="宋体" w:hAnsi="宋体" w:eastAsia="宋体" w:cs="宋体"/>
          <w:bCs/>
          <w:szCs w:val="24"/>
        </w:rPr>
        <w:fldChar w:fldCharType="separate"/>
      </w:r>
      <w:r>
        <w:rPr>
          <w:rFonts w:hint="eastAsia"/>
        </w:rPr>
        <w:t>3.3.2 加油站运行过程中危险、有害因素分析</w:t>
      </w:r>
      <w:r>
        <w:tab/>
      </w:r>
      <w:r>
        <w:fldChar w:fldCharType="begin"/>
      </w:r>
      <w:r>
        <w:instrText xml:space="preserve"> PAGEREF _Toc19817 \h </w:instrText>
      </w:r>
      <w:r>
        <w:fldChar w:fldCharType="separate"/>
      </w:r>
      <w:r>
        <w:t>35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959F33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_Toc6496 </w:instrText>
      </w:r>
      <w:r>
        <w:rPr>
          <w:rFonts w:hint="eastAsia" w:ascii="宋体" w:hAnsi="宋体" w:eastAsia="宋体" w:cs="宋体"/>
          <w:bCs/>
          <w:szCs w:val="24"/>
        </w:rPr>
        <w:fldChar w:fldCharType="separate"/>
      </w:r>
      <w:r>
        <w:rPr>
          <w:rFonts w:hint="eastAsia"/>
        </w:rPr>
        <w:t>3.4 危险、有害因素的辨识结果</w:t>
      </w:r>
      <w:r>
        <w:tab/>
      </w:r>
      <w:r>
        <w:fldChar w:fldCharType="begin"/>
      </w:r>
      <w:r>
        <w:instrText xml:space="preserve"> PAGEREF _Toc6496 \h </w:instrText>
      </w:r>
      <w:r>
        <w:fldChar w:fldCharType="separate"/>
      </w:r>
      <w:r>
        <w:t>46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92A9510">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_Toc10422 </w:instrText>
      </w:r>
      <w:r>
        <w:rPr>
          <w:rFonts w:hint="eastAsia" w:ascii="宋体" w:hAnsi="宋体" w:eastAsia="宋体" w:cs="宋体"/>
          <w:bCs/>
          <w:szCs w:val="24"/>
        </w:rPr>
        <w:fldChar w:fldCharType="separate"/>
      </w:r>
      <w:r>
        <w:rPr>
          <w:rFonts w:hint="eastAsia"/>
        </w:rPr>
        <w:t>3.5 重大危险源辨识</w:t>
      </w:r>
      <w:r>
        <w:tab/>
      </w:r>
      <w:r>
        <w:fldChar w:fldCharType="begin"/>
      </w:r>
      <w:r>
        <w:instrText xml:space="preserve"> PAGEREF _Toc10422 \h </w:instrText>
      </w:r>
      <w:r>
        <w:fldChar w:fldCharType="separate"/>
      </w:r>
      <w:r>
        <w:t>48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129F66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_Toc8368 </w:instrText>
      </w:r>
      <w:r>
        <w:rPr>
          <w:rFonts w:hint="eastAsia" w:ascii="宋体" w:hAnsi="宋体" w:eastAsia="宋体" w:cs="宋体"/>
          <w:bCs/>
          <w:szCs w:val="24"/>
        </w:rPr>
        <w:fldChar w:fldCharType="separate"/>
      </w:r>
      <w:r>
        <w:rPr>
          <w:rFonts w:hint="eastAsia"/>
        </w:rPr>
        <w:t>3.5.1 方法介绍</w:t>
      </w:r>
      <w:r>
        <w:tab/>
      </w:r>
      <w:r>
        <w:fldChar w:fldCharType="begin"/>
      </w:r>
      <w:r>
        <w:instrText xml:space="preserve"> PAGEREF _Toc8368 \h </w:instrText>
      </w:r>
      <w:r>
        <w:fldChar w:fldCharType="separate"/>
      </w:r>
      <w:r>
        <w:t>48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183D69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_Toc1984 </w:instrText>
      </w:r>
      <w:r>
        <w:rPr>
          <w:rFonts w:hint="eastAsia" w:ascii="宋体" w:hAnsi="宋体" w:eastAsia="宋体" w:cs="宋体"/>
          <w:bCs/>
          <w:szCs w:val="24"/>
        </w:rPr>
        <w:fldChar w:fldCharType="separate"/>
      </w:r>
      <w:r>
        <w:rPr>
          <w:rFonts w:hint="eastAsia"/>
        </w:rPr>
        <w:t>3.5.2 物质的临界量</w:t>
      </w:r>
      <w:r>
        <w:tab/>
      </w:r>
      <w:r>
        <w:fldChar w:fldCharType="begin"/>
      </w:r>
      <w:r>
        <w:instrText xml:space="preserve"> PAGEREF _Toc1984 \h </w:instrText>
      </w:r>
      <w:r>
        <w:fldChar w:fldCharType="separate"/>
      </w:r>
      <w:r>
        <w:t>48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7491C6C">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_Toc25286 </w:instrText>
      </w:r>
      <w:r>
        <w:rPr>
          <w:rFonts w:hint="eastAsia" w:ascii="宋体" w:hAnsi="宋体" w:eastAsia="宋体" w:cs="宋体"/>
          <w:bCs/>
          <w:szCs w:val="24"/>
        </w:rPr>
        <w:fldChar w:fldCharType="separate"/>
      </w:r>
      <w:r>
        <w:rPr>
          <w:rFonts w:hint="eastAsia"/>
        </w:rPr>
        <w:t>3.5.3 重大危险源辨识</w:t>
      </w:r>
      <w:r>
        <w:tab/>
      </w:r>
      <w:r>
        <w:fldChar w:fldCharType="begin"/>
      </w:r>
      <w:r>
        <w:instrText xml:space="preserve"> PAGEREF _Toc25286 \h </w:instrText>
      </w:r>
      <w:r>
        <w:fldChar w:fldCharType="separate"/>
      </w:r>
      <w:r>
        <w:t>48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82198F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_Toc27007 </w:instrText>
      </w:r>
      <w:r>
        <w:rPr>
          <w:rFonts w:hint="eastAsia" w:ascii="宋体" w:hAnsi="宋体" w:eastAsia="宋体" w:cs="宋体"/>
          <w:bCs/>
          <w:szCs w:val="24"/>
        </w:rPr>
        <w:fldChar w:fldCharType="separate"/>
      </w:r>
      <w:r>
        <w:rPr>
          <w:rFonts w:hint="eastAsia"/>
        </w:rPr>
        <w:t>3.6 重点监管的危险化学品辨识</w:t>
      </w:r>
      <w:r>
        <w:tab/>
      </w:r>
      <w:r>
        <w:fldChar w:fldCharType="begin"/>
      </w:r>
      <w:r>
        <w:instrText xml:space="preserve"> PAGEREF _Toc27007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261A92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_Toc29863 </w:instrText>
      </w:r>
      <w:r>
        <w:rPr>
          <w:rFonts w:hint="eastAsia" w:ascii="宋体" w:hAnsi="宋体" w:eastAsia="宋体" w:cs="宋体"/>
          <w:bCs/>
          <w:szCs w:val="24"/>
        </w:rPr>
        <w:fldChar w:fldCharType="separate"/>
      </w:r>
      <w:r>
        <w:rPr>
          <w:rFonts w:hint="eastAsia"/>
        </w:rPr>
        <w:t>3.7 特别管控危险化学品辨识</w:t>
      </w:r>
      <w:r>
        <w:tab/>
      </w:r>
      <w:r>
        <w:fldChar w:fldCharType="begin"/>
      </w:r>
      <w:r>
        <w:instrText xml:space="preserve"> PAGEREF _Toc29863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F37EAD4">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_Toc297 </w:instrText>
      </w:r>
      <w:r>
        <w:rPr>
          <w:rFonts w:hint="eastAsia" w:ascii="宋体" w:hAnsi="宋体" w:eastAsia="宋体" w:cs="宋体"/>
          <w:bCs/>
          <w:szCs w:val="24"/>
        </w:rPr>
        <w:fldChar w:fldCharType="separate"/>
      </w:r>
      <w:r>
        <w:rPr>
          <w:rFonts w:hint="eastAsia"/>
        </w:rPr>
        <w:t>3.8 易制毒化学品辨识</w:t>
      </w:r>
      <w:r>
        <w:tab/>
      </w:r>
      <w:r>
        <w:fldChar w:fldCharType="begin"/>
      </w:r>
      <w:r>
        <w:instrText xml:space="preserve"> PAGEREF _Toc297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89EA2A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_Toc28134 </w:instrText>
      </w:r>
      <w:r>
        <w:rPr>
          <w:rFonts w:hint="eastAsia" w:ascii="宋体" w:hAnsi="宋体" w:eastAsia="宋体" w:cs="宋体"/>
          <w:bCs/>
          <w:szCs w:val="24"/>
        </w:rPr>
        <w:fldChar w:fldCharType="separate"/>
      </w:r>
      <w:r>
        <w:rPr>
          <w:rFonts w:hint="eastAsia"/>
        </w:rPr>
        <w:t>3.9 易制爆危险化学品辨识</w:t>
      </w:r>
      <w:r>
        <w:tab/>
      </w:r>
      <w:r>
        <w:fldChar w:fldCharType="begin"/>
      </w:r>
      <w:r>
        <w:instrText xml:space="preserve"> PAGEREF _Toc28134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B666F03">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_Toc23633 </w:instrText>
      </w:r>
      <w:r>
        <w:rPr>
          <w:rFonts w:hint="eastAsia" w:ascii="宋体" w:hAnsi="宋体" w:eastAsia="宋体" w:cs="宋体"/>
          <w:bCs/>
          <w:szCs w:val="24"/>
        </w:rPr>
        <w:fldChar w:fldCharType="separate"/>
      </w:r>
      <w:r>
        <w:rPr>
          <w:rFonts w:hint="eastAsia"/>
        </w:rPr>
        <w:t>3.10 剧毒化学品辨识</w:t>
      </w:r>
      <w:r>
        <w:tab/>
      </w:r>
      <w:r>
        <w:fldChar w:fldCharType="begin"/>
      </w:r>
      <w:r>
        <w:instrText xml:space="preserve"> PAGEREF _Toc23633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AAE4334">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_Toc28886 </w:instrText>
      </w:r>
      <w:r>
        <w:rPr>
          <w:rFonts w:hint="eastAsia" w:ascii="宋体" w:hAnsi="宋体" w:eastAsia="宋体" w:cs="宋体"/>
          <w:bCs/>
          <w:szCs w:val="24"/>
        </w:rPr>
        <w:fldChar w:fldCharType="separate"/>
      </w:r>
      <w:r>
        <w:rPr>
          <w:rFonts w:hint="eastAsia"/>
        </w:rPr>
        <w:t>3.11 淘汰落后工艺、设备辨识</w:t>
      </w:r>
      <w:r>
        <w:tab/>
      </w:r>
      <w:r>
        <w:fldChar w:fldCharType="begin"/>
      </w:r>
      <w:r>
        <w:instrText xml:space="preserve"> PAGEREF _Toc28886 \h </w:instrText>
      </w:r>
      <w:r>
        <w:fldChar w:fldCharType="separate"/>
      </w:r>
      <w:r>
        <w:t>49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BCC6B40">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_Toc23273 </w:instrText>
      </w:r>
      <w:r>
        <w:rPr>
          <w:rFonts w:hint="eastAsia" w:ascii="宋体" w:hAnsi="宋体" w:eastAsia="宋体" w:cs="宋体"/>
          <w:bCs/>
          <w:szCs w:val="24"/>
        </w:rPr>
        <w:fldChar w:fldCharType="separate"/>
      </w:r>
      <w:r>
        <w:rPr>
          <w:rFonts w:hint="eastAsia"/>
        </w:rPr>
        <w:t>3.12 本章小结</w:t>
      </w:r>
      <w:r>
        <w:tab/>
      </w:r>
      <w:r>
        <w:fldChar w:fldCharType="begin"/>
      </w:r>
      <w:r>
        <w:instrText xml:space="preserve"> PAGEREF _Toc23273 \h </w:instrText>
      </w:r>
      <w:r>
        <w:fldChar w:fldCharType="separate"/>
      </w:r>
      <w:r>
        <w:t>50</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678B18A">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_Toc4347 </w:instrText>
      </w:r>
      <w:r>
        <w:rPr>
          <w:rFonts w:hint="eastAsia" w:ascii="宋体" w:hAnsi="宋体" w:eastAsia="宋体" w:cs="宋体"/>
          <w:bCs/>
          <w:szCs w:val="24"/>
        </w:rPr>
        <w:fldChar w:fldCharType="separate"/>
      </w:r>
      <w:r>
        <w:rPr>
          <w:rFonts w:hint="eastAsia"/>
        </w:rPr>
        <w:t>第4章 安全评价单元的划分及评价方法介绍</w:t>
      </w:r>
      <w:r>
        <w:tab/>
      </w:r>
      <w:r>
        <w:fldChar w:fldCharType="begin"/>
      </w:r>
      <w:r>
        <w:instrText xml:space="preserve"> PAGEREF _Toc4347 \h </w:instrText>
      </w:r>
      <w:r>
        <w:fldChar w:fldCharType="separate"/>
      </w:r>
      <w:r>
        <w:t>51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DFC1736">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_Toc4175 </w:instrText>
      </w:r>
      <w:r>
        <w:rPr>
          <w:rFonts w:hint="eastAsia" w:ascii="宋体" w:hAnsi="宋体" w:eastAsia="宋体" w:cs="宋体"/>
          <w:bCs/>
          <w:szCs w:val="24"/>
        </w:rPr>
        <w:fldChar w:fldCharType="separate"/>
      </w:r>
      <w:r>
        <w:rPr>
          <w:rFonts w:hint="eastAsia"/>
        </w:rPr>
        <w:t>4.1 安全评价单元划分</w:t>
      </w:r>
      <w:r>
        <w:tab/>
      </w:r>
      <w:r>
        <w:fldChar w:fldCharType="begin"/>
      </w:r>
      <w:r>
        <w:instrText xml:space="preserve"> PAGEREF _Toc4175 \h </w:instrText>
      </w:r>
      <w:r>
        <w:fldChar w:fldCharType="separate"/>
      </w:r>
      <w:r>
        <w:t>51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26D9460">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_Toc29289 </w:instrText>
      </w:r>
      <w:r>
        <w:rPr>
          <w:rFonts w:hint="eastAsia" w:ascii="宋体" w:hAnsi="宋体" w:eastAsia="宋体" w:cs="宋体"/>
          <w:bCs/>
          <w:szCs w:val="24"/>
        </w:rPr>
        <w:fldChar w:fldCharType="separate"/>
      </w:r>
      <w:r>
        <w:rPr>
          <w:rFonts w:hint="eastAsia"/>
        </w:rPr>
        <w:t>4.1.1 安全评价单元的划分结果</w:t>
      </w:r>
      <w:r>
        <w:tab/>
      </w:r>
      <w:r>
        <w:fldChar w:fldCharType="begin"/>
      </w:r>
      <w:r>
        <w:instrText xml:space="preserve"> PAGEREF _Toc29289 \h </w:instrText>
      </w:r>
      <w:r>
        <w:fldChar w:fldCharType="separate"/>
      </w:r>
      <w:r>
        <w:t>51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032DD04">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_Toc7630 </w:instrText>
      </w:r>
      <w:r>
        <w:rPr>
          <w:rFonts w:hint="eastAsia" w:ascii="宋体" w:hAnsi="宋体" w:eastAsia="宋体" w:cs="宋体"/>
          <w:bCs/>
          <w:szCs w:val="24"/>
        </w:rPr>
        <w:fldChar w:fldCharType="separate"/>
      </w:r>
      <w:r>
        <w:rPr>
          <w:rFonts w:hint="eastAsia"/>
        </w:rPr>
        <w:t>4.1.2 安全评价单元划分说明</w:t>
      </w:r>
      <w:r>
        <w:tab/>
      </w:r>
      <w:r>
        <w:fldChar w:fldCharType="begin"/>
      </w:r>
      <w:r>
        <w:instrText xml:space="preserve"> PAGEREF _Toc7630 \h </w:instrText>
      </w:r>
      <w:r>
        <w:fldChar w:fldCharType="separate"/>
      </w:r>
      <w:r>
        <w:t>51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A59F2B4">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_Toc4272 </w:instrText>
      </w:r>
      <w:r>
        <w:rPr>
          <w:rFonts w:hint="eastAsia" w:ascii="宋体" w:hAnsi="宋体" w:eastAsia="宋体" w:cs="宋体"/>
          <w:bCs/>
          <w:szCs w:val="24"/>
        </w:rPr>
        <w:fldChar w:fldCharType="separate"/>
      </w:r>
      <w:r>
        <w:rPr>
          <w:rFonts w:hint="eastAsia"/>
        </w:rPr>
        <w:t>4.2 评价方法选用</w:t>
      </w:r>
      <w:r>
        <w:tab/>
      </w:r>
      <w:r>
        <w:fldChar w:fldCharType="begin"/>
      </w:r>
      <w:r>
        <w:instrText xml:space="preserve"> PAGEREF _Toc4272 \h </w:instrText>
      </w:r>
      <w:r>
        <w:fldChar w:fldCharType="separate"/>
      </w:r>
      <w:r>
        <w:t>52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63D4DA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_Toc23111 </w:instrText>
      </w:r>
      <w:r>
        <w:rPr>
          <w:rFonts w:hint="eastAsia" w:ascii="宋体" w:hAnsi="宋体" w:eastAsia="宋体" w:cs="宋体"/>
          <w:bCs/>
          <w:szCs w:val="24"/>
        </w:rPr>
        <w:fldChar w:fldCharType="separate"/>
      </w:r>
      <w:r>
        <w:rPr>
          <w:rFonts w:hint="eastAsia"/>
        </w:rPr>
        <w:t>4.2.1 评价方法选用结果</w:t>
      </w:r>
      <w:r>
        <w:tab/>
      </w:r>
      <w:r>
        <w:fldChar w:fldCharType="begin"/>
      </w:r>
      <w:r>
        <w:instrText xml:space="preserve"> PAGEREF _Toc23111 \h </w:instrText>
      </w:r>
      <w:r>
        <w:fldChar w:fldCharType="separate"/>
      </w:r>
      <w:r>
        <w:t>52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A864671">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_Toc21118 </w:instrText>
      </w:r>
      <w:r>
        <w:rPr>
          <w:rFonts w:hint="eastAsia" w:ascii="宋体" w:hAnsi="宋体" w:eastAsia="宋体" w:cs="宋体"/>
          <w:bCs/>
          <w:szCs w:val="24"/>
        </w:rPr>
        <w:fldChar w:fldCharType="separate"/>
      </w:r>
      <w:r>
        <w:rPr>
          <w:rFonts w:hint="eastAsia"/>
        </w:rPr>
        <w:t>4.2.2 评价方法选用说明</w:t>
      </w:r>
      <w:r>
        <w:tab/>
      </w:r>
      <w:r>
        <w:fldChar w:fldCharType="begin"/>
      </w:r>
      <w:r>
        <w:instrText xml:space="preserve"> PAGEREF _Toc21118 \h </w:instrText>
      </w:r>
      <w:r>
        <w:fldChar w:fldCharType="separate"/>
      </w:r>
      <w:r>
        <w:t>52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31B4B69">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_Toc30670 </w:instrText>
      </w:r>
      <w:r>
        <w:rPr>
          <w:rFonts w:hint="eastAsia" w:ascii="宋体" w:hAnsi="宋体" w:eastAsia="宋体" w:cs="宋体"/>
          <w:bCs/>
          <w:szCs w:val="24"/>
        </w:rPr>
        <w:fldChar w:fldCharType="separate"/>
      </w:r>
      <w:r>
        <w:rPr>
          <w:rFonts w:hint="eastAsia"/>
        </w:rPr>
        <w:t>4.3 各评价单元采用的评价方法</w:t>
      </w:r>
      <w:r>
        <w:tab/>
      </w:r>
      <w:r>
        <w:fldChar w:fldCharType="begin"/>
      </w:r>
      <w:r>
        <w:instrText xml:space="preserve"> PAGEREF _Toc30670 \h </w:instrText>
      </w:r>
      <w:r>
        <w:fldChar w:fldCharType="separate"/>
      </w:r>
      <w:r>
        <w:t>53</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1D5DE29">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_Toc30514 </w:instrText>
      </w:r>
      <w:r>
        <w:rPr>
          <w:rFonts w:hint="eastAsia" w:ascii="宋体" w:hAnsi="宋体" w:eastAsia="宋体" w:cs="宋体"/>
          <w:bCs/>
          <w:szCs w:val="24"/>
        </w:rPr>
        <w:fldChar w:fldCharType="separate"/>
      </w:r>
      <w:r>
        <w:rPr>
          <w:rFonts w:hint="eastAsia"/>
        </w:rPr>
        <w:t>第5章 定性分析评价</w:t>
      </w:r>
      <w:r>
        <w:tab/>
      </w:r>
      <w:r>
        <w:fldChar w:fldCharType="begin"/>
      </w:r>
      <w:r>
        <w:instrText xml:space="preserve"> PAGEREF _Toc30514 \h </w:instrText>
      </w:r>
      <w:r>
        <w:fldChar w:fldCharType="separate"/>
      </w:r>
      <w:r>
        <w:t>54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7A8036D">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_Toc8064 </w:instrText>
      </w:r>
      <w:r>
        <w:rPr>
          <w:rFonts w:hint="eastAsia" w:ascii="宋体" w:hAnsi="宋体" w:eastAsia="宋体" w:cs="宋体"/>
          <w:bCs/>
          <w:szCs w:val="24"/>
        </w:rPr>
        <w:fldChar w:fldCharType="separate"/>
      </w:r>
      <w:r>
        <w:rPr>
          <w:rFonts w:hint="eastAsia"/>
        </w:rPr>
        <w:t>5.1 定性分析危险、有害程度</w:t>
      </w:r>
      <w:r>
        <w:tab/>
      </w:r>
      <w:r>
        <w:fldChar w:fldCharType="begin"/>
      </w:r>
      <w:r>
        <w:instrText xml:space="preserve"> PAGEREF _Toc8064 \h </w:instrText>
      </w:r>
      <w:r>
        <w:fldChar w:fldCharType="separate"/>
      </w:r>
      <w:r>
        <w:t>54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97B638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_Toc5594 </w:instrText>
      </w:r>
      <w:r>
        <w:rPr>
          <w:rFonts w:hint="eastAsia" w:ascii="宋体" w:hAnsi="宋体" w:eastAsia="宋体" w:cs="宋体"/>
          <w:bCs/>
          <w:szCs w:val="24"/>
        </w:rPr>
        <w:fldChar w:fldCharType="separate"/>
      </w:r>
      <w:r>
        <w:rPr>
          <w:rFonts w:hint="eastAsia"/>
        </w:rPr>
        <w:t>5.2 事故案例</w:t>
      </w:r>
      <w:r>
        <w:tab/>
      </w:r>
      <w:r>
        <w:fldChar w:fldCharType="begin"/>
      </w:r>
      <w:r>
        <w:instrText xml:space="preserve"> PAGEREF _Toc5594 \h </w:instrText>
      </w:r>
      <w:r>
        <w:fldChar w:fldCharType="separate"/>
      </w:r>
      <w:r>
        <w:t>56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0568A9A">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_Toc31979 </w:instrText>
      </w:r>
      <w:r>
        <w:rPr>
          <w:rFonts w:hint="eastAsia" w:ascii="宋体" w:hAnsi="宋体" w:eastAsia="宋体" w:cs="宋体"/>
          <w:bCs/>
          <w:szCs w:val="24"/>
        </w:rPr>
        <w:fldChar w:fldCharType="separate"/>
      </w:r>
      <w:r>
        <w:rPr>
          <w:rFonts w:hint="eastAsia"/>
        </w:rPr>
        <w:t>5.3 本章小结</w:t>
      </w:r>
      <w:r>
        <w:tab/>
      </w:r>
      <w:r>
        <w:fldChar w:fldCharType="begin"/>
      </w:r>
      <w:r>
        <w:instrText xml:space="preserve"> PAGEREF _Toc31979 \h </w:instrText>
      </w:r>
      <w:r>
        <w:fldChar w:fldCharType="separate"/>
      </w:r>
      <w:r>
        <w:t>57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A99B5EE">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_Toc24968 </w:instrText>
      </w:r>
      <w:r>
        <w:rPr>
          <w:rFonts w:hint="eastAsia" w:ascii="宋体" w:hAnsi="宋体" w:eastAsia="宋体" w:cs="宋体"/>
          <w:bCs/>
          <w:szCs w:val="24"/>
        </w:rPr>
        <w:fldChar w:fldCharType="separate"/>
      </w:r>
      <w:r>
        <w:rPr>
          <w:rFonts w:hint="eastAsia"/>
        </w:rPr>
        <w:t>第6章 各单元分析评价</w:t>
      </w:r>
      <w:r>
        <w:tab/>
      </w:r>
      <w:r>
        <w:fldChar w:fldCharType="begin"/>
      </w:r>
      <w:r>
        <w:instrText xml:space="preserve"> PAGEREF _Toc24968 \h </w:instrText>
      </w:r>
      <w:r>
        <w:fldChar w:fldCharType="separate"/>
      </w:r>
      <w:r>
        <w:t>58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5ED76B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_Toc15795 </w:instrText>
      </w:r>
      <w:r>
        <w:rPr>
          <w:rFonts w:hint="eastAsia" w:ascii="宋体" w:hAnsi="宋体" w:eastAsia="宋体" w:cs="宋体"/>
          <w:bCs/>
          <w:szCs w:val="24"/>
        </w:rPr>
        <w:fldChar w:fldCharType="separate"/>
      </w:r>
      <w:r>
        <w:rPr>
          <w:rFonts w:hint="eastAsia"/>
        </w:rPr>
        <w:t>6.1 外部安全条件分析评价</w:t>
      </w:r>
      <w:r>
        <w:tab/>
      </w:r>
      <w:r>
        <w:fldChar w:fldCharType="begin"/>
      </w:r>
      <w:r>
        <w:instrText xml:space="preserve"> PAGEREF _Toc15795 \h </w:instrText>
      </w:r>
      <w:r>
        <w:fldChar w:fldCharType="separate"/>
      </w:r>
      <w:r>
        <w:t>58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51B957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_Toc17627 </w:instrText>
      </w:r>
      <w:r>
        <w:rPr>
          <w:rFonts w:hint="eastAsia" w:ascii="宋体" w:hAnsi="宋体" w:eastAsia="宋体" w:cs="宋体"/>
          <w:bCs/>
          <w:szCs w:val="24"/>
        </w:rPr>
        <w:fldChar w:fldCharType="separate"/>
      </w:r>
      <w:r>
        <w:rPr>
          <w:rFonts w:hint="eastAsia"/>
        </w:rPr>
        <w:t>6.1.1 站址选择分析评价</w:t>
      </w:r>
      <w:r>
        <w:tab/>
      </w:r>
      <w:r>
        <w:fldChar w:fldCharType="begin"/>
      </w:r>
      <w:r>
        <w:instrText xml:space="preserve"> PAGEREF _Toc17627 \h </w:instrText>
      </w:r>
      <w:r>
        <w:fldChar w:fldCharType="separate"/>
      </w:r>
      <w:r>
        <w:t>58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F457420">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_Toc28506 </w:instrText>
      </w:r>
      <w:r>
        <w:rPr>
          <w:rFonts w:hint="eastAsia" w:ascii="宋体" w:hAnsi="宋体" w:eastAsia="宋体" w:cs="宋体"/>
          <w:bCs/>
          <w:szCs w:val="24"/>
        </w:rPr>
        <w:fldChar w:fldCharType="separate"/>
      </w:r>
      <w:r>
        <w:rPr>
          <w:rFonts w:hint="eastAsia"/>
        </w:rPr>
        <w:t>6.1.2 加油站对周边环境的影响分析评价</w:t>
      </w:r>
      <w:r>
        <w:tab/>
      </w:r>
      <w:r>
        <w:fldChar w:fldCharType="begin"/>
      </w:r>
      <w:r>
        <w:instrText xml:space="preserve"> PAGEREF _Toc28506 \h </w:instrText>
      </w:r>
      <w:r>
        <w:fldChar w:fldCharType="separate"/>
      </w:r>
      <w:r>
        <w:t>58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288D495">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_Toc14119 </w:instrText>
      </w:r>
      <w:r>
        <w:rPr>
          <w:rFonts w:hint="eastAsia" w:ascii="宋体" w:hAnsi="宋体" w:eastAsia="宋体" w:cs="宋体"/>
          <w:bCs/>
          <w:szCs w:val="24"/>
        </w:rPr>
        <w:fldChar w:fldCharType="separate"/>
      </w:r>
      <w:r>
        <w:rPr>
          <w:rFonts w:hint="eastAsia"/>
        </w:rPr>
        <w:t>6.1.3 加油站周边环境对加油站运行的影响</w:t>
      </w:r>
      <w:r>
        <w:tab/>
      </w:r>
      <w:r>
        <w:fldChar w:fldCharType="begin"/>
      </w:r>
      <w:r>
        <w:instrText xml:space="preserve"> PAGEREF _Toc14119 \h </w:instrText>
      </w:r>
      <w:r>
        <w:fldChar w:fldCharType="separate"/>
      </w:r>
      <w:r>
        <w:t>59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49243E6">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_Toc13399 </w:instrText>
      </w:r>
      <w:r>
        <w:rPr>
          <w:rFonts w:hint="eastAsia" w:ascii="宋体" w:hAnsi="宋体" w:eastAsia="宋体" w:cs="宋体"/>
          <w:bCs/>
          <w:szCs w:val="24"/>
        </w:rPr>
        <w:fldChar w:fldCharType="separate"/>
      </w:r>
      <w:r>
        <w:rPr>
          <w:rFonts w:hint="eastAsia"/>
        </w:rPr>
        <w:t>6.1.4 所在地自然条件对加油站运行的影响</w:t>
      </w:r>
      <w:r>
        <w:tab/>
      </w:r>
      <w:r>
        <w:fldChar w:fldCharType="begin"/>
      </w:r>
      <w:r>
        <w:instrText xml:space="preserve"> PAGEREF _Toc13399 \h </w:instrText>
      </w:r>
      <w:r>
        <w:fldChar w:fldCharType="separate"/>
      </w:r>
      <w:r>
        <w:t>59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88A9495">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_Toc32686 </w:instrText>
      </w:r>
      <w:r>
        <w:rPr>
          <w:rFonts w:hint="eastAsia" w:ascii="宋体" w:hAnsi="宋体" w:eastAsia="宋体" w:cs="宋体"/>
          <w:bCs/>
          <w:szCs w:val="24"/>
        </w:rPr>
        <w:fldChar w:fldCharType="separate"/>
      </w:r>
      <w:r>
        <w:rPr>
          <w:rFonts w:hint="eastAsia"/>
        </w:rPr>
        <w:t>6.2 平面布置分析评价</w:t>
      </w:r>
      <w:r>
        <w:tab/>
      </w:r>
      <w:r>
        <w:fldChar w:fldCharType="begin"/>
      </w:r>
      <w:r>
        <w:instrText xml:space="preserve"> PAGEREF _Toc32686 \h </w:instrText>
      </w:r>
      <w:r>
        <w:fldChar w:fldCharType="separate"/>
      </w:r>
      <w:r>
        <w:t>60</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119BCB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_Toc21219 </w:instrText>
      </w:r>
      <w:r>
        <w:rPr>
          <w:rFonts w:hint="eastAsia" w:ascii="宋体" w:hAnsi="宋体" w:eastAsia="宋体" w:cs="宋体"/>
          <w:bCs/>
          <w:szCs w:val="24"/>
        </w:rPr>
        <w:fldChar w:fldCharType="separate"/>
      </w:r>
      <w:r>
        <w:rPr>
          <w:rFonts w:hint="eastAsia"/>
        </w:rPr>
        <w:t>6.3 工艺及设施分析评价</w:t>
      </w:r>
      <w:r>
        <w:tab/>
      </w:r>
      <w:r>
        <w:fldChar w:fldCharType="begin"/>
      </w:r>
      <w:r>
        <w:instrText xml:space="preserve"> PAGEREF _Toc21219 \h </w:instrText>
      </w:r>
      <w:r>
        <w:fldChar w:fldCharType="separate"/>
      </w:r>
      <w:r>
        <w:t>61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813130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_Toc32705 </w:instrText>
      </w:r>
      <w:r>
        <w:rPr>
          <w:rFonts w:hint="eastAsia" w:ascii="宋体" w:hAnsi="宋体" w:eastAsia="宋体" w:cs="宋体"/>
          <w:bCs/>
          <w:szCs w:val="24"/>
        </w:rPr>
        <w:fldChar w:fldCharType="separate"/>
      </w:r>
      <w:r>
        <w:rPr>
          <w:rFonts w:hint="eastAsia"/>
        </w:rPr>
        <w:t>6.4 公用工程分析评价</w:t>
      </w:r>
      <w:r>
        <w:tab/>
      </w:r>
      <w:r>
        <w:fldChar w:fldCharType="begin"/>
      </w:r>
      <w:r>
        <w:instrText xml:space="preserve"> PAGEREF _Toc32705 \h </w:instrText>
      </w:r>
      <w:r>
        <w:fldChar w:fldCharType="separate"/>
      </w:r>
      <w:r>
        <w:t>65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D3D3A0A">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_Toc29473 </w:instrText>
      </w:r>
      <w:r>
        <w:rPr>
          <w:rFonts w:hint="eastAsia" w:ascii="宋体" w:hAnsi="宋体" w:eastAsia="宋体" w:cs="宋体"/>
          <w:bCs/>
          <w:szCs w:val="24"/>
        </w:rPr>
        <w:fldChar w:fldCharType="separate"/>
      </w:r>
      <w:r>
        <w:rPr>
          <w:rFonts w:hint="eastAsia"/>
        </w:rPr>
        <w:t>6.5 安全设施分析评价</w:t>
      </w:r>
      <w:r>
        <w:tab/>
      </w:r>
      <w:r>
        <w:fldChar w:fldCharType="begin"/>
      </w:r>
      <w:r>
        <w:instrText xml:space="preserve"> PAGEREF _Toc29473 \h </w:instrText>
      </w:r>
      <w:r>
        <w:fldChar w:fldCharType="separate"/>
      </w:r>
      <w:r>
        <w:t>67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750604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_Toc8898 </w:instrText>
      </w:r>
      <w:r>
        <w:rPr>
          <w:rFonts w:hint="eastAsia" w:ascii="宋体" w:hAnsi="宋体" w:eastAsia="宋体" w:cs="宋体"/>
          <w:bCs/>
          <w:szCs w:val="24"/>
        </w:rPr>
        <w:fldChar w:fldCharType="separate"/>
      </w:r>
      <w:r>
        <w:rPr>
          <w:rFonts w:hint="eastAsia"/>
        </w:rPr>
        <w:t>6.6 安全管理分析评价</w:t>
      </w:r>
      <w:r>
        <w:tab/>
      </w:r>
      <w:r>
        <w:fldChar w:fldCharType="begin"/>
      </w:r>
      <w:r>
        <w:instrText xml:space="preserve"> PAGEREF _Toc8898 \h </w:instrText>
      </w:r>
      <w:r>
        <w:fldChar w:fldCharType="separate"/>
      </w:r>
      <w:r>
        <w:t>68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3696030">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_Toc20363 </w:instrText>
      </w:r>
      <w:r>
        <w:rPr>
          <w:rFonts w:hint="eastAsia" w:ascii="宋体" w:hAnsi="宋体" w:eastAsia="宋体" w:cs="宋体"/>
          <w:bCs/>
          <w:szCs w:val="24"/>
        </w:rPr>
        <w:fldChar w:fldCharType="separate"/>
      </w:r>
      <w:r>
        <w:rPr>
          <w:rFonts w:hint="eastAsia"/>
        </w:rPr>
        <w:t>6.7 重大事故隐患分析评价</w:t>
      </w:r>
      <w:r>
        <w:tab/>
      </w:r>
      <w:r>
        <w:fldChar w:fldCharType="begin"/>
      </w:r>
      <w:r>
        <w:instrText xml:space="preserve"> PAGEREF _Toc20363 \h </w:instrText>
      </w:r>
      <w:r>
        <w:fldChar w:fldCharType="separate"/>
      </w:r>
      <w:r>
        <w:t>72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233520F">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_Toc19295 </w:instrText>
      </w:r>
      <w:r>
        <w:rPr>
          <w:rFonts w:hint="eastAsia" w:ascii="宋体" w:hAnsi="宋体" w:eastAsia="宋体" w:cs="宋体"/>
          <w:bCs/>
          <w:szCs w:val="24"/>
        </w:rPr>
        <w:fldChar w:fldCharType="separate"/>
      </w:r>
      <w:r>
        <w:rPr>
          <w:rFonts w:hint="eastAsia"/>
        </w:rPr>
        <w:t>6.8 各单元评价小结</w:t>
      </w:r>
      <w:r>
        <w:tab/>
      </w:r>
      <w:r>
        <w:fldChar w:fldCharType="begin"/>
      </w:r>
      <w:r>
        <w:instrText xml:space="preserve"> PAGEREF _Toc19295 \h </w:instrText>
      </w:r>
      <w:r>
        <w:fldChar w:fldCharType="separate"/>
      </w:r>
      <w:r>
        <w:t>73</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8756239">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_Toc29132 </w:instrText>
      </w:r>
      <w:r>
        <w:rPr>
          <w:rFonts w:hint="eastAsia" w:ascii="宋体" w:hAnsi="宋体" w:eastAsia="宋体" w:cs="宋体"/>
          <w:bCs/>
          <w:szCs w:val="24"/>
        </w:rPr>
        <w:fldChar w:fldCharType="separate"/>
      </w:r>
      <w:r>
        <w:rPr>
          <w:rFonts w:hint="eastAsia"/>
        </w:rPr>
        <w:t>第7章 安全对策措施及建议</w:t>
      </w:r>
      <w:r>
        <w:tab/>
      </w:r>
      <w:r>
        <w:fldChar w:fldCharType="begin"/>
      </w:r>
      <w:r>
        <w:instrText xml:space="preserve"> PAGEREF _Toc29132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297C16B">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_Toc3965 </w:instrText>
      </w:r>
      <w:r>
        <w:rPr>
          <w:rFonts w:hint="eastAsia" w:ascii="宋体" w:hAnsi="宋体" w:eastAsia="宋体" w:cs="宋体"/>
          <w:bCs/>
          <w:szCs w:val="24"/>
        </w:rPr>
        <w:fldChar w:fldCharType="separate"/>
      </w:r>
      <w:r>
        <w:rPr>
          <w:rFonts w:hint="eastAsia"/>
        </w:rPr>
        <w:t>7.1 存在问题及整改建议</w:t>
      </w:r>
      <w:r>
        <w:tab/>
      </w:r>
      <w:r>
        <w:fldChar w:fldCharType="begin"/>
      </w:r>
      <w:r>
        <w:instrText xml:space="preserve"> PAGEREF _Toc3965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495175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_Toc10097 </w:instrText>
      </w:r>
      <w:r>
        <w:rPr>
          <w:rFonts w:hint="eastAsia" w:ascii="宋体" w:hAnsi="宋体" w:eastAsia="宋体" w:cs="宋体"/>
          <w:bCs/>
          <w:szCs w:val="24"/>
        </w:rPr>
        <w:fldChar w:fldCharType="separate"/>
      </w:r>
      <w:r>
        <w:rPr>
          <w:rFonts w:hint="eastAsia"/>
        </w:rPr>
        <w:t>7.1.1 存在问题</w:t>
      </w:r>
      <w:r>
        <w:tab/>
      </w:r>
      <w:r>
        <w:fldChar w:fldCharType="begin"/>
      </w:r>
      <w:r>
        <w:instrText xml:space="preserve"> PAGEREF _Toc10097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9028622">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_Toc24751 </w:instrText>
      </w:r>
      <w:r>
        <w:rPr>
          <w:rFonts w:hint="eastAsia" w:ascii="宋体" w:hAnsi="宋体" w:eastAsia="宋体" w:cs="宋体"/>
          <w:bCs/>
          <w:szCs w:val="24"/>
        </w:rPr>
        <w:fldChar w:fldCharType="separate"/>
      </w:r>
      <w:r>
        <w:rPr>
          <w:rFonts w:hint="eastAsia"/>
        </w:rPr>
        <w:t>7.1.2 存在问题的整改建议</w:t>
      </w:r>
      <w:r>
        <w:tab/>
      </w:r>
      <w:r>
        <w:fldChar w:fldCharType="begin"/>
      </w:r>
      <w:r>
        <w:instrText xml:space="preserve"> PAGEREF _Toc24751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B041759">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_Toc29974 </w:instrText>
      </w:r>
      <w:r>
        <w:rPr>
          <w:rFonts w:hint="eastAsia" w:ascii="宋体" w:hAnsi="宋体" w:eastAsia="宋体" w:cs="宋体"/>
          <w:bCs/>
          <w:szCs w:val="24"/>
        </w:rPr>
        <w:fldChar w:fldCharType="separate"/>
      </w:r>
      <w:r>
        <w:rPr>
          <w:rFonts w:hint="eastAsia"/>
        </w:rPr>
        <w:t>7.1.3 存在问题整改情况</w:t>
      </w:r>
      <w:r>
        <w:tab/>
      </w:r>
      <w:r>
        <w:fldChar w:fldCharType="begin"/>
      </w:r>
      <w:r>
        <w:instrText xml:space="preserve"> PAGEREF _Toc29974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BC3031C">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_Toc27949 </w:instrText>
      </w:r>
      <w:r>
        <w:rPr>
          <w:rFonts w:hint="eastAsia" w:ascii="宋体" w:hAnsi="宋体" w:eastAsia="宋体" w:cs="宋体"/>
          <w:bCs/>
          <w:szCs w:val="24"/>
        </w:rPr>
        <w:fldChar w:fldCharType="separate"/>
      </w:r>
      <w:r>
        <w:rPr>
          <w:rFonts w:hint="eastAsia"/>
        </w:rPr>
        <w:t>7.2 安全对策措施及建议</w:t>
      </w:r>
      <w:r>
        <w:tab/>
      </w:r>
      <w:r>
        <w:fldChar w:fldCharType="begin"/>
      </w:r>
      <w:r>
        <w:instrText xml:space="preserve"> PAGEREF _Toc27949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14B9657">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_Toc17398 </w:instrText>
      </w:r>
      <w:r>
        <w:rPr>
          <w:rFonts w:hint="eastAsia" w:ascii="宋体" w:hAnsi="宋体" w:eastAsia="宋体" w:cs="宋体"/>
          <w:bCs/>
          <w:szCs w:val="24"/>
        </w:rPr>
        <w:fldChar w:fldCharType="separate"/>
      </w:r>
      <w:r>
        <w:rPr>
          <w:rFonts w:hint="eastAsia"/>
        </w:rPr>
        <w:t>7.2.1 防火、防爆安全对策措施及建议</w:t>
      </w:r>
      <w:r>
        <w:tab/>
      </w:r>
      <w:r>
        <w:fldChar w:fldCharType="begin"/>
      </w:r>
      <w:r>
        <w:instrText xml:space="preserve"> PAGEREF _Toc17398 \h </w:instrText>
      </w:r>
      <w:r>
        <w:fldChar w:fldCharType="separate"/>
      </w:r>
      <w:r>
        <w:t>75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67511D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_Toc9631 </w:instrText>
      </w:r>
      <w:r>
        <w:rPr>
          <w:rFonts w:hint="eastAsia" w:ascii="宋体" w:hAnsi="宋体" w:eastAsia="宋体" w:cs="宋体"/>
          <w:bCs/>
          <w:szCs w:val="24"/>
        </w:rPr>
        <w:fldChar w:fldCharType="separate"/>
      </w:r>
      <w:r>
        <w:rPr>
          <w:rFonts w:hint="eastAsia"/>
        </w:rPr>
        <w:t>7.2.2 电气系统安全对策措施及建议</w:t>
      </w:r>
      <w:r>
        <w:tab/>
      </w:r>
      <w:r>
        <w:fldChar w:fldCharType="begin"/>
      </w:r>
      <w:r>
        <w:instrText xml:space="preserve"> PAGEREF _Toc9631 \h </w:instrText>
      </w:r>
      <w:r>
        <w:fldChar w:fldCharType="separate"/>
      </w:r>
      <w:r>
        <w:t>76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36049C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_Toc9483 </w:instrText>
      </w:r>
      <w:r>
        <w:rPr>
          <w:rFonts w:hint="eastAsia" w:ascii="宋体" w:hAnsi="宋体" w:eastAsia="宋体" w:cs="宋体"/>
          <w:bCs/>
          <w:szCs w:val="24"/>
        </w:rPr>
        <w:fldChar w:fldCharType="separate"/>
      </w:r>
      <w:r>
        <w:rPr>
          <w:rFonts w:hint="eastAsia"/>
        </w:rPr>
        <w:t>7.2.3 防雷、防静电安全对策措施及建议</w:t>
      </w:r>
      <w:r>
        <w:tab/>
      </w:r>
      <w:r>
        <w:fldChar w:fldCharType="begin"/>
      </w:r>
      <w:r>
        <w:instrText xml:space="preserve"> PAGEREF _Toc9483 \h </w:instrText>
      </w:r>
      <w:r>
        <w:fldChar w:fldCharType="separate"/>
      </w:r>
      <w:r>
        <w:t>76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8412508">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_Toc30273 </w:instrText>
      </w:r>
      <w:r>
        <w:rPr>
          <w:rFonts w:hint="eastAsia" w:ascii="宋体" w:hAnsi="宋体" w:eastAsia="宋体" w:cs="宋体"/>
          <w:bCs/>
          <w:szCs w:val="24"/>
        </w:rPr>
        <w:fldChar w:fldCharType="separate"/>
      </w:r>
      <w:r>
        <w:rPr>
          <w:rFonts w:hint="eastAsia"/>
        </w:rPr>
        <w:t>7.2.4 特殊作业安全对策措施及建议</w:t>
      </w:r>
      <w:r>
        <w:tab/>
      </w:r>
      <w:r>
        <w:fldChar w:fldCharType="begin"/>
      </w:r>
      <w:r>
        <w:instrText xml:space="preserve"> PAGEREF _Toc30273 \h </w:instrText>
      </w:r>
      <w:r>
        <w:fldChar w:fldCharType="separate"/>
      </w:r>
      <w:r>
        <w:t>77</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378B24F">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_Toc7712 </w:instrText>
      </w:r>
      <w:r>
        <w:rPr>
          <w:rFonts w:hint="eastAsia" w:ascii="宋体" w:hAnsi="宋体" w:eastAsia="宋体" w:cs="宋体"/>
          <w:bCs/>
          <w:szCs w:val="24"/>
        </w:rPr>
        <w:fldChar w:fldCharType="separate"/>
      </w:r>
      <w:r>
        <w:rPr>
          <w:rFonts w:hint="eastAsia"/>
        </w:rPr>
        <w:t>7.2.5 加油站油品卸油对策措施</w:t>
      </w:r>
      <w:r>
        <w:tab/>
      </w:r>
      <w:r>
        <w:fldChar w:fldCharType="begin"/>
      </w:r>
      <w:r>
        <w:instrText xml:space="preserve"> PAGEREF _Toc7712 \h </w:instrText>
      </w:r>
      <w:r>
        <w:fldChar w:fldCharType="separate"/>
      </w:r>
      <w:r>
        <w:t>86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249B291">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_Toc30250 </w:instrText>
      </w:r>
      <w:r>
        <w:rPr>
          <w:rFonts w:hint="eastAsia" w:ascii="宋体" w:hAnsi="宋体" w:eastAsia="宋体" w:cs="宋体"/>
          <w:bCs/>
          <w:szCs w:val="24"/>
        </w:rPr>
        <w:fldChar w:fldCharType="separate"/>
      </w:r>
      <w:r>
        <w:rPr>
          <w:rFonts w:hint="eastAsia"/>
        </w:rPr>
        <w:t>7.2.6 加油站油品储存对策措施</w:t>
      </w:r>
      <w:r>
        <w:tab/>
      </w:r>
      <w:r>
        <w:fldChar w:fldCharType="begin"/>
      </w:r>
      <w:r>
        <w:instrText xml:space="preserve"> PAGEREF _Toc30250 \h </w:instrText>
      </w:r>
      <w:r>
        <w:fldChar w:fldCharType="separate"/>
      </w:r>
      <w:r>
        <w:t>88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C6DE06B">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_Toc22661 </w:instrText>
      </w:r>
      <w:r>
        <w:rPr>
          <w:rFonts w:hint="eastAsia" w:ascii="宋体" w:hAnsi="宋体" w:eastAsia="宋体" w:cs="宋体"/>
          <w:bCs/>
          <w:szCs w:val="24"/>
        </w:rPr>
        <w:fldChar w:fldCharType="separate"/>
      </w:r>
      <w:r>
        <w:rPr>
          <w:rFonts w:hint="eastAsia"/>
        </w:rPr>
        <w:t>7.2.7 加油站油品计量对策措施</w:t>
      </w:r>
      <w:r>
        <w:tab/>
      </w:r>
      <w:r>
        <w:fldChar w:fldCharType="begin"/>
      </w:r>
      <w:r>
        <w:instrText xml:space="preserve"> PAGEREF _Toc22661 \h </w:instrText>
      </w:r>
      <w:r>
        <w:fldChar w:fldCharType="separate"/>
      </w:r>
      <w:r>
        <w:t>88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3442FEA2">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_Toc9657 </w:instrText>
      </w:r>
      <w:r>
        <w:rPr>
          <w:rFonts w:hint="eastAsia" w:ascii="宋体" w:hAnsi="宋体" w:eastAsia="宋体" w:cs="宋体"/>
          <w:bCs/>
          <w:szCs w:val="24"/>
        </w:rPr>
        <w:fldChar w:fldCharType="separate"/>
      </w:r>
      <w:r>
        <w:rPr>
          <w:rFonts w:hint="eastAsia"/>
        </w:rPr>
        <w:t>7.2.8 加油站加油对策措施</w:t>
      </w:r>
      <w:r>
        <w:tab/>
      </w:r>
      <w:r>
        <w:fldChar w:fldCharType="begin"/>
      </w:r>
      <w:r>
        <w:instrText xml:space="preserve"> PAGEREF _Toc9657 \h </w:instrText>
      </w:r>
      <w:r>
        <w:fldChar w:fldCharType="separate"/>
      </w:r>
      <w:r>
        <w:t>88</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65F69B5">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_Toc1601 </w:instrText>
      </w:r>
      <w:r>
        <w:rPr>
          <w:rFonts w:hint="eastAsia" w:ascii="宋体" w:hAnsi="宋体" w:eastAsia="宋体" w:cs="宋体"/>
          <w:bCs/>
          <w:szCs w:val="24"/>
        </w:rPr>
        <w:fldChar w:fldCharType="separate"/>
      </w:r>
      <w:r>
        <w:rPr>
          <w:rFonts w:hint="eastAsia"/>
        </w:rPr>
        <w:t>7.2.9 劳动防护用品配备和使用建议</w:t>
      </w:r>
      <w:r>
        <w:tab/>
      </w:r>
      <w:r>
        <w:fldChar w:fldCharType="begin"/>
      </w:r>
      <w:r>
        <w:instrText xml:space="preserve"> PAGEREF _Toc1601 \h </w:instrText>
      </w:r>
      <w:r>
        <w:fldChar w:fldCharType="separate"/>
      </w:r>
      <w:r>
        <w:t>89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E2396F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_Toc23922 </w:instrText>
      </w:r>
      <w:r>
        <w:rPr>
          <w:rFonts w:hint="eastAsia" w:ascii="宋体" w:hAnsi="宋体" w:eastAsia="宋体" w:cs="宋体"/>
          <w:bCs/>
          <w:szCs w:val="24"/>
        </w:rPr>
        <w:fldChar w:fldCharType="separate"/>
      </w:r>
      <w:r>
        <w:rPr>
          <w:rFonts w:hint="eastAsia"/>
        </w:rPr>
        <w:t>7.2.10 安全管理对策措施及建议</w:t>
      </w:r>
      <w:r>
        <w:tab/>
      </w:r>
      <w:r>
        <w:fldChar w:fldCharType="begin"/>
      </w:r>
      <w:r>
        <w:instrText xml:space="preserve"> PAGEREF _Toc23922 \h </w:instrText>
      </w:r>
      <w:r>
        <w:fldChar w:fldCharType="separate"/>
      </w:r>
      <w:r>
        <w:t>89</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7701D86">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_Toc14836 </w:instrText>
      </w:r>
      <w:r>
        <w:rPr>
          <w:rFonts w:hint="eastAsia" w:ascii="宋体" w:hAnsi="宋体" w:eastAsia="宋体" w:cs="宋体"/>
          <w:bCs/>
          <w:szCs w:val="24"/>
        </w:rPr>
        <w:fldChar w:fldCharType="separate"/>
      </w:r>
      <w:r>
        <w:rPr>
          <w:rFonts w:hint="eastAsia"/>
        </w:rPr>
        <w:t>7.2.11 加油站设备设施安全对策措施和建议</w:t>
      </w:r>
      <w:r>
        <w:tab/>
      </w:r>
      <w:r>
        <w:fldChar w:fldCharType="begin"/>
      </w:r>
      <w:r>
        <w:instrText xml:space="preserve"> PAGEREF _Toc14836 \h </w:instrText>
      </w:r>
      <w:r>
        <w:fldChar w:fldCharType="separate"/>
      </w:r>
      <w:r>
        <w:t>91</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723588E">
      <w:pPr>
        <w:pStyle w:val="20"/>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_Toc22747 </w:instrText>
      </w:r>
      <w:r>
        <w:rPr>
          <w:rFonts w:hint="eastAsia" w:ascii="宋体" w:hAnsi="宋体" w:eastAsia="宋体" w:cs="宋体"/>
          <w:bCs/>
          <w:szCs w:val="24"/>
        </w:rPr>
        <w:fldChar w:fldCharType="separate"/>
      </w:r>
      <w:r>
        <w:rPr>
          <w:rFonts w:hint="eastAsia"/>
        </w:rPr>
        <w:t>7.2.12 重点监管及特别管控危险化学品对策措施和建议</w:t>
      </w:r>
      <w:r>
        <w:tab/>
      </w:r>
      <w:r>
        <w:fldChar w:fldCharType="begin"/>
      </w:r>
      <w:r>
        <w:instrText xml:space="preserve"> PAGEREF _Toc22747 \h </w:instrText>
      </w:r>
      <w:r>
        <w:fldChar w:fldCharType="separate"/>
      </w:r>
      <w:r>
        <w:t>92</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2CF83621">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_Toc3795 </w:instrText>
      </w:r>
      <w:r>
        <w:rPr>
          <w:rFonts w:hint="eastAsia" w:ascii="宋体" w:hAnsi="宋体" w:eastAsia="宋体" w:cs="宋体"/>
          <w:bCs/>
          <w:szCs w:val="24"/>
        </w:rPr>
        <w:fldChar w:fldCharType="separate"/>
      </w:r>
      <w:r>
        <w:rPr>
          <w:rFonts w:hint="eastAsia"/>
        </w:rPr>
        <w:t>第8章 评价结论</w:t>
      </w:r>
      <w:r>
        <w:tab/>
      </w:r>
      <w:r>
        <w:fldChar w:fldCharType="begin"/>
      </w:r>
      <w:r>
        <w:instrText xml:space="preserve"> PAGEREF _Toc3795 \h </w:instrText>
      </w:r>
      <w:r>
        <w:fldChar w:fldCharType="separate"/>
      </w:r>
      <w:r>
        <w:t>94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C8B4A0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_Toc25872 </w:instrText>
      </w:r>
      <w:r>
        <w:rPr>
          <w:rFonts w:hint="eastAsia" w:ascii="宋体" w:hAnsi="宋体" w:eastAsia="宋体" w:cs="宋体"/>
          <w:bCs/>
          <w:szCs w:val="24"/>
        </w:rPr>
        <w:fldChar w:fldCharType="separate"/>
      </w:r>
      <w:r>
        <w:rPr>
          <w:rFonts w:hint="eastAsia"/>
        </w:rPr>
        <w:t>8.1 加油站</w:t>
      </w:r>
      <w:r>
        <w:t>存在的危险、有害因素及其危险危害程度</w:t>
      </w:r>
      <w:r>
        <w:tab/>
      </w:r>
      <w:r>
        <w:fldChar w:fldCharType="begin"/>
      </w:r>
      <w:r>
        <w:instrText xml:space="preserve"> PAGEREF _Toc25872 \h </w:instrText>
      </w:r>
      <w:r>
        <w:fldChar w:fldCharType="separate"/>
      </w:r>
      <w:r>
        <w:t>94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042F9D27">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_Toc10587 </w:instrText>
      </w:r>
      <w:r>
        <w:rPr>
          <w:rFonts w:hint="eastAsia" w:ascii="宋体" w:hAnsi="宋体" w:eastAsia="宋体" w:cs="宋体"/>
          <w:bCs/>
          <w:szCs w:val="24"/>
        </w:rPr>
        <w:fldChar w:fldCharType="separate"/>
      </w:r>
      <w:r>
        <w:rPr>
          <w:rFonts w:hint="eastAsia"/>
        </w:rPr>
        <w:t>8.2 各单元评价综述</w:t>
      </w:r>
      <w:r>
        <w:tab/>
      </w:r>
      <w:r>
        <w:fldChar w:fldCharType="begin"/>
      </w:r>
      <w:r>
        <w:instrText xml:space="preserve"> PAGEREF _Toc10587 \h </w:instrText>
      </w:r>
      <w:r>
        <w:fldChar w:fldCharType="separate"/>
      </w:r>
      <w:r>
        <w:t>94</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4D86FD59">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_Toc14632 </w:instrText>
      </w:r>
      <w:r>
        <w:rPr>
          <w:rFonts w:hint="eastAsia" w:ascii="宋体" w:hAnsi="宋体" w:eastAsia="宋体" w:cs="宋体"/>
          <w:bCs/>
          <w:szCs w:val="24"/>
        </w:rPr>
        <w:fldChar w:fldCharType="separate"/>
      </w:r>
      <w:r>
        <w:rPr>
          <w:rFonts w:hint="eastAsia"/>
        </w:rPr>
        <w:t>8.3 应重视的危险有害因素</w:t>
      </w:r>
      <w:r>
        <w:tab/>
      </w:r>
      <w:r>
        <w:fldChar w:fldCharType="begin"/>
      </w:r>
      <w:r>
        <w:instrText xml:space="preserve"> PAGEREF _Toc14632 \h </w:instrText>
      </w:r>
      <w:r>
        <w:fldChar w:fldCharType="separate"/>
      </w:r>
      <w:r>
        <w:t>95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1E516863">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_Toc7847 </w:instrText>
      </w:r>
      <w:r>
        <w:rPr>
          <w:rFonts w:hint="eastAsia" w:ascii="宋体" w:hAnsi="宋体" w:eastAsia="宋体" w:cs="宋体"/>
          <w:bCs/>
          <w:szCs w:val="24"/>
        </w:rPr>
        <w:fldChar w:fldCharType="separate"/>
      </w:r>
      <w:r>
        <w:rPr>
          <w:rFonts w:hint="eastAsia"/>
        </w:rPr>
        <w:t>8.4 应重视的安全对策措施及建议</w:t>
      </w:r>
      <w:r>
        <w:tab/>
      </w:r>
      <w:r>
        <w:fldChar w:fldCharType="begin"/>
      </w:r>
      <w:r>
        <w:instrText xml:space="preserve"> PAGEREF _Toc7847 \h </w:instrText>
      </w:r>
      <w:r>
        <w:fldChar w:fldCharType="separate"/>
      </w:r>
      <w:r>
        <w:t>95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646CDFD2">
      <w:pPr>
        <w:pStyle w:val="27"/>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_Toc28328 </w:instrText>
      </w:r>
      <w:r>
        <w:rPr>
          <w:rFonts w:hint="eastAsia" w:ascii="宋体" w:hAnsi="宋体" w:eastAsia="宋体" w:cs="宋体"/>
          <w:bCs/>
          <w:szCs w:val="24"/>
        </w:rPr>
        <w:fldChar w:fldCharType="separate"/>
      </w:r>
      <w:r>
        <w:rPr>
          <w:rFonts w:hint="eastAsia"/>
        </w:rPr>
        <w:t>8.5 评价结论</w:t>
      </w:r>
      <w:r>
        <w:tab/>
      </w:r>
      <w:r>
        <w:fldChar w:fldCharType="begin"/>
      </w:r>
      <w:r>
        <w:instrText xml:space="preserve"> PAGEREF _Toc28328 \h </w:instrText>
      </w:r>
      <w:r>
        <w:fldChar w:fldCharType="separate"/>
      </w:r>
      <w:r>
        <w:t>95</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5BC77B29">
      <w:pPr>
        <w:pStyle w:val="25"/>
        <w:tabs>
          <w:tab w:val="right" w:leader="dot" w:pos="9183"/>
        </w:tabs>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_Toc32667 </w:instrText>
      </w:r>
      <w:r>
        <w:rPr>
          <w:rFonts w:hint="eastAsia" w:ascii="宋体" w:hAnsi="宋体" w:eastAsia="宋体" w:cs="宋体"/>
          <w:bCs/>
          <w:szCs w:val="24"/>
        </w:rPr>
        <w:fldChar w:fldCharType="separate"/>
      </w:r>
      <w:r>
        <w:rPr>
          <w:rFonts w:hint="eastAsia"/>
        </w:rPr>
        <w:t>第9章 与建设单位交换意见的情况</w:t>
      </w:r>
      <w:r>
        <w:tab/>
      </w:r>
      <w:r>
        <w:fldChar w:fldCharType="begin"/>
      </w:r>
      <w:r>
        <w:instrText xml:space="preserve"> PAGEREF _Toc32667 \h </w:instrText>
      </w:r>
      <w:r>
        <w:fldChar w:fldCharType="separate"/>
      </w:r>
      <w:r>
        <w:t>96</w:t>
      </w:r>
      <w:r>
        <w:fldChar w:fldCharType="end"/>
      </w:r>
      <w:r>
        <w:rPr>
          <w:rFonts w:hint="eastAsia" w:ascii="宋体" w:hAnsi="宋体" w:eastAsia="宋体" w:cs="宋体"/>
          <w:bCs/>
          <w:color w:val="000000" w:themeColor="text1"/>
          <w:szCs w:val="24"/>
          <w14:textFill>
            <w14:solidFill>
              <w14:schemeClr w14:val="tx1"/>
            </w14:solidFill>
          </w14:textFill>
        </w:rPr>
        <w:fldChar w:fldCharType="end"/>
      </w:r>
    </w:p>
    <w:p w14:paraId="77BF9434">
      <w:pPr>
        <w:rPr>
          <w:color w:val="000000" w:themeColor="text1"/>
          <w:sz w:val="24"/>
          <w:szCs w:val="24"/>
          <w14:textFill>
            <w14:solidFill>
              <w14:schemeClr w14:val="tx1"/>
            </w14:solidFill>
          </w14:textFill>
        </w:rPr>
        <w:sectPr>
          <w:pgSz w:w="11905" w:h="16838"/>
          <w:pgMar w:top="1304" w:right="1361" w:bottom="1304" w:left="1361" w:header="850" w:footer="850" w:gutter="0"/>
          <w:pgNumType w:start="1"/>
          <w:cols w:space="0" w:num="1"/>
          <w:rtlGutter w:val="0"/>
          <w:docGrid w:type="linesAndChars" w:linePitch="386" w:charSpace="0"/>
        </w:sectPr>
      </w:pPr>
      <w:r>
        <w:rPr>
          <w:rFonts w:hint="eastAsia" w:ascii="宋体" w:hAnsi="宋体" w:eastAsia="宋体" w:cs="宋体"/>
          <w:bCs/>
          <w:color w:val="000000" w:themeColor="text1"/>
          <w:szCs w:val="24"/>
          <w14:textFill>
            <w14:solidFill>
              <w14:schemeClr w14:val="tx1"/>
            </w14:solidFill>
          </w14:textFill>
        </w:rPr>
        <w:fldChar w:fldCharType="end"/>
      </w:r>
    </w:p>
    <w:p w14:paraId="3D5EA1A8">
      <w:pPr>
        <w:pStyle w:val="2"/>
        <w:keepNext/>
        <w:keepLines/>
        <w:pageBreakBefore w:val="0"/>
        <w:widowControl w:val="0"/>
        <w:kinsoku/>
        <w:wordWrap/>
        <w:overflowPunct/>
        <w:topLinePunct w:val="0"/>
        <w:autoSpaceDE/>
        <w:autoSpaceDN/>
        <w:bidi w:val="0"/>
        <w:adjustRightInd/>
        <w:snapToGrid w:val="0"/>
        <w:spacing w:before="193" w:after="193"/>
        <w:textAlignment w:val="auto"/>
        <w:rPr>
          <w:color w:val="000000" w:themeColor="text1"/>
          <w14:textFill>
            <w14:solidFill>
              <w14:schemeClr w14:val="tx1"/>
            </w14:solidFill>
          </w14:textFill>
        </w:rPr>
      </w:pPr>
      <w:bookmarkStart w:id="0" w:name="_Toc195176695"/>
      <w:bookmarkStart w:id="1" w:name="_Toc258574821"/>
      <w:bookmarkStart w:id="2" w:name="_Toc23561"/>
      <w:bookmarkStart w:id="3" w:name="_Toc187699871"/>
      <w:bookmarkStart w:id="4" w:name="_Toc187780641"/>
      <w:bookmarkStart w:id="5" w:name="_Toc156661637"/>
      <w:bookmarkStart w:id="6" w:name="_Toc109564554"/>
      <w:bookmarkStart w:id="7" w:name="_Toc108344543"/>
      <w:bookmarkStart w:id="8" w:name="_Toc109564191"/>
      <w:bookmarkStart w:id="9" w:name="_Toc109559443"/>
      <w:bookmarkStart w:id="10" w:name="_Toc151881368"/>
      <w:bookmarkStart w:id="11" w:name="_Toc134710959"/>
      <w:bookmarkStart w:id="12" w:name="_Toc108697367"/>
      <w:bookmarkStart w:id="13" w:name="_Toc135136992"/>
      <w:bookmarkStart w:id="14" w:name="_Toc134875856"/>
      <w:bookmarkStart w:id="15" w:name="_Toc109564936"/>
      <w:r>
        <w:rPr>
          <w:rFonts w:hint="eastAsia"/>
          <w:color w:val="000000" w:themeColor="text1"/>
          <w14:textFill>
            <w14:solidFill>
              <w14:schemeClr w14:val="tx1"/>
            </w14:solidFill>
          </w14:textFill>
        </w:rPr>
        <w:t>安全评价工作经过</w:t>
      </w:r>
      <w:bookmarkEnd w:id="0"/>
      <w:bookmarkEnd w:id="1"/>
      <w:bookmarkEnd w:id="2"/>
    </w:p>
    <w:p w14:paraId="457A2836">
      <w:pPr>
        <w:pStyle w:val="3"/>
        <w:rPr>
          <w:color w:val="000000" w:themeColor="text1"/>
          <w14:textFill>
            <w14:solidFill>
              <w14:schemeClr w14:val="tx1"/>
            </w14:solidFill>
          </w14:textFill>
        </w:rPr>
      </w:pPr>
      <w:bookmarkStart w:id="16" w:name="_Toc20081"/>
      <w:bookmarkStart w:id="17" w:name="_Toc258574822"/>
      <w:bookmarkStart w:id="18" w:name="_Toc195176696"/>
      <w:bookmarkStart w:id="19" w:name="_Toc188337766"/>
      <w:bookmarkStart w:id="20" w:name="_Toc189986303"/>
      <w:r>
        <w:rPr>
          <w:rFonts w:hint="eastAsia"/>
          <w:color w:val="000000" w:themeColor="text1"/>
          <w14:textFill>
            <w14:solidFill>
              <w14:schemeClr w14:val="tx1"/>
            </w14:solidFill>
          </w14:textFill>
        </w:rPr>
        <w:t>前期准备情况</w:t>
      </w:r>
      <w:bookmarkEnd w:id="16"/>
      <w:bookmarkEnd w:id="17"/>
      <w:bookmarkEnd w:id="18"/>
    </w:p>
    <w:p w14:paraId="7B0EB1FB">
      <w:pPr>
        <w:pStyle w:val="4"/>
        <w:ind w:firstLine="562"/>
        <w:rPr>
          <w:color w:val="000000" w:themeColor="text1"/>
          <w14:textFill>
            <w14:solidFill>
              <w14:schemeClr w14:val="tx1"/>
            </w14:solidFill>
          </w14:textFill>
        </w:rPr>
      </w:pPr>
      <w:bookmarkStart w:id="21" w:name="_Toc195176697"/>
      <w:bookmarkStart w:id="22" w:name="_Toc20613"/>
      <w:r>
        <w:rPr>
          <w:rFonts w:hint="eastAsia"/>
          <w:color w:val="000000" w:themeColor="text1"/>
          <w14:textFill>
            <w14:solidFill>
              <w14:schemeClr w14:val="tx1"/>
            </w14:solidFill>
          </w14:textFill>
        </w:rPr>
        <w:t>任务来源</w:t>
      </w:r>
      <w:bookmarkEnd w:id="19"/>
      <w:bookmarkEnd w:id="20"/>
      <w:bookmarkEnd w:id="21"/>
      <w:bookmarkEnd w:id="22"/>
    </w:p>
    <w:p w14:paraId="57016CF4">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委托，由昭通市鼎安科技有限公司承担</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的安全现状评价工作。</w:t>
      </w:r>
      <w:r>
        <w:rPr>
          <w:color w:val="000000" w:themeColor="text1"/>
          <w14:textFill>
            <w14:solidFill>
              <w14:schemeClr w14:val="tx1"/>
            </w14:solidFill>
          </w14:textFill>
        </w:rPr>
        <w:t>合同签订后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w:t>
      </w:r>
      <w:r>
        <w:rPr>
          <w:rFonts w:hint="eastAsia"/>
          <w:color w:val="000000" w:themeColor="text1"/>
          <w14:textFill>
            <w14:solidFill>
              <w14:schemeClr w14:val="tx1"/>
            </w14:solidFill>
          </w14:textFill>
        </w:rPr>
        <w:t>公司签发（或授权签发）《安全评价项目任务书》，收到《安全评价项目任务书》后</w:t>
      </w:r>
      <w:r>
        <w:rPr>
          <w:color w:val="000000" w:themeColor="text1"/>
          <w14:textFill>
            <w14:solidFill>
              <w14:schemeClr w14:val="tx1"/>
            </w14:solidFill>
          </w14:textFill>
        </w:rPr>
        <w:t>组建评价项目组并任命项目组长。</w:t>
      </w:r>
    </w:p>
    <w:p w14:paraId="2592F04F">
      <w:pPr>
        <w:pStyle w:val="4"/>
        <w:ind w:firstLine="562"/>
        <w:rPr>
          <w:color w:val="000000" w:themeColor="text1"/>
          <w14:textFill>
            <w14:solidFill>
              <w14:schemeClr w14:val="tx1"/>
            </w14:solidFill>
          </w14:textFill>
        </w:rPr>
      </w:pPr>
      <w:bookmarkStart w:id="23" w:name="_Toc195176698"/>
      <w:bookmarkStart w:id="24" w:name="_Toc22230"/>
      <w:r>
        <w:rPr>
          <w:rFonts w:hint="eastAsia"/>
          <w:color w:val="000000" w:themeColor="text1"/>
          <w14:textFill>
            <w14:solidFill>
              <w14:schemeClr w14:val="tx1"/>
            </w14:solidFill>
          </w14:textFill>
        </w:rPr>
        <w:t>收集资料</w:t>
      </w:r>
      <w:bookmarkEnd w:id="23"/>
      <w:bookmarkEnd w:id="24"/>
    </w:p>
    <w:p w14:paraId="73289C41">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3B28D229">
      <w:pPr>
        <w:pStyle w:val="45"/>
        <w:ind w:firstLine="560"/>
        <w:rPr>
          <w:color w:val="000000" w:themeColor="text1"/>
          <w14:textFill>
            <w14:solidFill>
              <w14:schemeClr w14:val="tx1"/>
            </w14:solidFill>
          </w14:textFill>
        </w:rPr>
      </w:pPr>
      <w:r>
        <w:rPr>
          <w:color w:val="000000" w:themeColor="text1"/>
          <w14:textFill>
            <w14:solidFill>
              <w14:schemeClr w14:val="tx1"/>
            </w14:solidFill>
          </w14:textFill>
        </w:rPr>
        <w:t>安全评价资料、数据收集应遵循的原则：</w:t>
      </w:r>
    </w:p>
    <w:p w14:paraId="172C9092">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应保证满足全面、客观、具体、准确的要求</w:t>
      </w:r>
      <w:r>
        <w:rPr>
          <w:rFonts w:hint="eastAsia"/>
          <w:color w:val="000000" w:themeColor="text1"/>
          <w14:textFill>
            <w14:solidFill>
              <w14:schemeClr w14:val="tx1"/>
            </w14:solidFill>
          </w14:textFill>
        </w:rPr>
        <w:t>；</w:t>
      </w:r>
    </w:p>
    <w:p w14:paraId="0C09FF2B">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应尽量避免索取不必要的资料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避免给企业带来</w:t>
      </w:r>
      <w:r>
        <w:rPr>
          <w:rFonts w:hint="eastAsia"/>
          <w:color w:val="000000" w:themeColor="text1"/>
          <w14:textFill>
            <w14:solidFill>
              <w14:schemeClr w14:val="tx1"/>
            </w14:solidFill>
          </w14:textFill>
        </w:rPr>
        <w:t>麻烦；</w:t>
      </w:r>
    </w:p>
    <w:p w14:paraId="3EE89C65">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收集的资料数据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要对其真实性和可信度进行评估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必要时可要求资料提供方书面说明资料来源</w:t>
      </w:r>
      <w:r>
        <w:rPr>
          <w:rFonts w:hint="eastAsia"/>
          <w:color w:val="000000" w:themeColor="text1"/>
          <w14:textFill>
            <w14:solidFill>
              <w14:schemeClr w14:val="tx1"/>
            </w14:solidFill>
          </w14:textFill>
        </w:rPr>
        <w:t>；</w:t>
      </w:r>
    </w:p>
    <w:p w14:paraId="3ABA9FE0">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对用作类比推理的资料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要注意类比双方的相关程度和资料获得的条件</w:t>
      </w:r>
      <w:r>
        <w:rPr>
          <w:rFonts w:hint="eastAsia"/>
          <w:color w:val="000000" w:themeColor="text1"/>
          <w14:textFill>
            <w14:solidFill>
              <w14:schemeClr w14:val="tx1"/>
            </w14:solidFill>
          </w14:textFill>
        </w:rPr>
        <w:t>；</w:t>
      </w:r>
    </w:p>
    <w:p w14:paraId="0C491367">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代表性不强的资料不能用于评价</w:t>
      </w:r>
      <w:r>
        <w:rPr>
          <w:rFonts w:hint="eastAsia"/>
          <w:color w:val="000000" w:themeColor="text1"/>
          <w14:textFill>
            <w14:solidFill>
              <w14:schemeClr w14:val="tx1"/>
            </w14:solidFill>
          </w14:textFill>
        </w:rPr>
        <w:t>；</w:t>
      </w:r>
    </w:p>
    <w:p w14:paraId="2E73130B">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引用反映现状的资料数据必须是有效数据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一般采用法定的检测检验机构或者通过省级或国家级计量认证的机构出具的数据。</w:t>
      </w:r>
    </w:p>
    <w:p w14:paraId="5938A222">
      <w:pPr>
        <w:pStyle w:val="4"/>
        <w:ind w:firstLine="562"/>
        <w:rPr>
          <w:color w:val="000000" w:themeColor="text1"/>
          <w14:textFill>
            <w14:solidFill>
              <w14:schemeClr w14:val="tx1"/>
            </w14:solidFill>
          </w14:textFill>
        </w:rPr>
      </w:pPr>
      <w:bookmarkStart w:id="25" w:name="_Toc195176699"/>
      <w:bookmarkStart w:id="26" w:name="_Toc5351"/>
      <w:r>
        <w:rPr>
          <w:rFonts w:hint="eastAsia"/>
          <w:color w:val="000000" w:themeColor="text1"/>
          <w14:textFill>
            <w14:solidFill>
              <w14:schemeClr w14:val="tx1"/>
            </w14:solidFill>
          </w14:textFill>
        </w:rPr>
        <w:t>评价目的</w:t>
      </w:r>
      <w:bookmarkEnd w:id="25"/>
      <w:bookmarkEnd w:id="26"/>
    </w:p>
    <w:p w14:paraId="12354E2F">
      <w:pPr>
        <w:numPr>
          <w:ilvl w:val="0"/>
          <w:numId w:val="5"/>
        </w:numPr>
        <w:ind w:firstLine="560"/>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安全生产工作坚持中国共产党的领导。为了贯彻落实以人为本，坚持人民至上、生命至上，把保护人民生命安全摆在首位，树牢安全发展理念，坚持</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安全第一、预防为主、综合治理</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的方针，从源头上防范化解重大安全风险；</w:t>
      </w:r>
    </w:p>
    <w:p w14:paraId="6F7091FD">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查找、分析和预测成品油经营企业存在的危险、有害因素及危险、危害程度，提出合理可行的安全对策措施，指导危险源监控和事故预防；</w:t>
      </w:r>
    </w:p>
    <w:p w14:paraId="53602C09">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对经营用设备、设施、仓储、管理机构和管理制度等进行评价，作为成品油经营企业持续改进、提高服务质量、保证安全经营的依据；</w:t>
      </w:r>
    </w:p>
    <w:p w14:paraId="213CF1EE">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为经营运行及日常管理提供依据，为应急管理部门实行安全监察提供依据。</w:t>
      </w:r>
    </w:p>
    <w:p w14:paraId="60C79E8C">
      <w:pPr>
        <w:pStyle w:val="4"/>
        <w:ind w:firstLine="562"/>
        <w:rPr>
          <w:color w:val="000000" w:themeColor="text1"/>
          <w14:textFill>
            <w14:solidFill>
              <w14:schemeClr w14:val="tx1"/>
            </w14:solidFill>
          </w14:textFill>
        </w:rPr>
      </w:pPr>
      <w:bookmarkStart w:id="27" w:name="_Toc17297"/>
      <w:bookmarkStart w:id="28" w:name="_Toc195176700"/>
      <w:r>
        <w:rPr>
          <w:rFonts w:hint="eastAsia"/>
          <w:color w:val="000000" w:themeColor="text1"/>
          <w14:textFill>
            <w14:solidFill>
              <w14:schemeClr w14:val="tx1"/>
            </w14:solidFill>
          </w14:textFill>
        </w:rPr>
        <w:t>评价原则</w:t>
      </w:r>
      <w:bookmarkEnd w:id="27"/>
      <w:bookmarkEnd w:id="28"/>
    </w:p>
    <w:p w14:paraId="2F49A323">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本着严肃的科学态度，认真负责的精神，强烈的责任感和事业心，全面、仔细、深入地开展和完成评价任务。在安全评价工作中始终遵循科学性、公正性、合法性和针对性原则。</w:t>
      </w:r>
    </w:p>
    <w:p w14:paraId="5AF2B307">
      <w:pPr>
        <w:pStyle w:val="3"/>
        <w:keepNext/>
        <w:keepLines/>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bookmarkStart w:id="29" w:name="_Toc10540"/>
      <w:bookmarkStart w:id="30" w:name="_Toc258574823"/>
      <w:bookmarkStart w:id="31" w:name="_Toc195176701"/>
      <w:r>
        <w:rPr>
          <w:rFonts w:hint="eastAsia"/>
          <w:color w:val="000000" w:themeColor="text1"/>
          <w14:textFill>
            <w14:solidFill>
              <w14:schemeClr w14:val="tx1"/>
            </w14:solidFill>
          </w14:textFill>
        </w:rPr>
        <w:t>评价对象及范围</w:t>
      </w:r>
      <w:bookmarkEnd w:id="29"/>
      <w:bookmarkEnd w:id="30"/>
      <w:bookmarkEnd w:id="31"/>
    </w:p>
    <w:p w14:paraId="5C5BFB4C">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根据加油站的实际情况，与委托单位协商确定本次安全现状评价的对象是</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，评价的范围为</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、工艺及设备、安全设施、</w:t>
      </w:r>
      <w:r>
        <w:rPr>
          <w:color w:val="000000" w:themeColor="text1"/>
          <w14:textFill>
            <w14:solidFill>
              <w14:schemeClr w14:val="tx1"/>
            </w14:solidFill>
          </w14:textFill>
        </w:rPr>
        <w:t>公用工程及辅助设施</w:t>
      </w:r>
      <w:r>
        <w:rPr>
          <w:rFonts w:hint="eastAsia"/>
          <w:color w:val="000000" w:themeColor="text1"/>
          <w14:textFill>
            <w14:solidFill>
              <w14:schemeClr w14:val="tx1"/>
            </w14:solidFill>
          </w14:textFill>
        </w:rPr>
        <w:t>、安全管理</w:t>
      </w:r>
      <w:r>
        <w:rPr>
          <w:color w:val="000000" w:themeColor="text1"/>
          <w14:textFill>
            <w14:solidFill>
              <w14:schemeClr w14:val="tx1"/>
            </w14:solidFill>
          </w14:textFill>
        </w:rPr>
        <w:t>。</w:t>
      </w:r>
    </w:p>
    <w:p w14:paraId="59D7B7C7">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站外油品运输不在本次评价范围内。</w:t>
      </w:r>
    </w:p>
    <w:p w14:paraId="3711F0F2">
      <w:pPr>
        <w:pStyle w:val="3"/>
        <w:keepNext/>
        <w:keepLines/>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bookmarkStart w:id="32" w:name="_Toc456527659"/>
      <w:bookmarkStart w:id="33" w:name="_Toc24324"/>
      <w:r>
        <w:rPr>
          <w:rFonts w:hint="eastAsia"/>
          <w:color w:val="000000" w:themeColor="text1"/>
          <w14:textFill>
            <w14:solidFill>
              <w14:schemeClr w14:val="tx1"/>
            </w14:solidFill>
          </w14:textFill>
        </w:rPr>
        <w:t>评价依据</w:t>
      </w:r>
      <w:bookmarkEnd w:id="32"/>
      <w:bookmarkEnd w:id="33"/>
    </w:p>
    <w:p w14:paraId="5BAA9F4F">
      <w:pPr>
        <w:pStyle w:val="4"/>
        <w:ind w:firstLine="562"/>
        <w:rPr>
          <w:color w:val="000000" w:themeColor="text1"/>
          <w14:textFill>
            <w14:solidFill>
              <w14:schemeClr w14:val="tx1"/>
            </w14:solidFill>
          </w14:textFill>
        </w:rPr>
      </w:pPr>
      <w:bookmarkStart w:id="34" w:name="_Toc187780644"/>
      <w:bookmarkStart w:id="35" w:name="_Toc456527660"/>
      <w:bookmarkStart w:id="36" w:name="_Toc28299808"/>
      <w:bookmarkStart w:id="37" w:name="_Toc5939"/>
      <w:bookmarkStart w:id="38" w:name="_Toc258574824"/>
      <w:bookmarkStart w:id="39" w:name="_Toc195176702"/>
      <w:r>
        <w:rPr>
          <w:color w:val="000000" w:themeColor="text1"/>
          <w14:textFill>
            <w14:solidFill>
              <w14:schemeClr w14:val="tx1"/>
            </w14:solidFill>
          </w14:textFill>
        </w:rPr>
        <w:t>国家法律</w:t>
      </w:r>
      <w:bookmarkEnd w:id="34"/>
      <w:bookmarkEnd w:id="35"/>
      <w:bookmarkEnd w:id="36"/>
      <w:bookmarkEnd w:id="37"/>
    </w:p>
    <w:p w14:paraId="4696D70F">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《中华人民共和国安全生产法》（中华人民共和国主席令第88号，2021年9月1日起施行）；</w:t>
      </w:r>
    </w:p>
    <w:p w14:paraId="6D2AAFFD">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《中华人民共和国劳动法》（中华人民共和国主席令第</w:t>
      </w:r>
      <w:r>
        <w:rPr>
          <w:rFonts w:ascii="新宋体" w:hAnsi="新宋体" w:eastAsia="新宋体"/>
          <w:color w:val="000000" w:themeColor="text1"/>
          <w14:textFill>
            <w14:solidFill>
              <w14:schemeClr w14:val="tx1"/>
            </w14:solidFill>
          </w14:textFill>
        </w:rPr>
        <w:t>28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14:paraId="0BCFF78F">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《中华人民共和国消防法》（中华人民共和国主席令第81号修正，2021年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9日施行）；</w:t>
      </w:r>
    </w:p>
    <w:p w14:paraId="13B5B129">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《中华人民共和国职业病防治法》（中华人民共和国主席令第</w:t>
      </w:r>
      <w:r>
        <w:rPr>
          <w:rFonts w:ascii="新宋体" w:hAnsi="新宋体" w:eastAsia="新宋体"/>
          <w:color w:val="000000" w:themeColor="text1"/>
          <w14:textFill>
            <w14:solidFill>
              <w14:schemeClr w14:val="tx1"/>
            </w14:solidFill>
          </w14:textFill>
        </w:rPr>
        <w:t>48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14:paraId="61D540C9">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《中华人民共和国突发事件应对法》（中华人民共和国主席令第69号，2007</w:t>
      </w:r>
      <w:r>
        <w:rPr>
          <w:rFonts w:ascii="新宋体" w:hAnsi="新宋体" w:eastAsia="新宋体"/>
          <w:color w:val="000000" w:themeColor="text1"/>
          <w14:textFill>
            <w14:solidFill>
              <w14:schemeClr w14:val="tx1"/>
            </w14:solidFill>
          </w14:textFill>
        </w:rPr>
        <w:t>年</w:t>
      </w:r>
      <w:r>
        <w:rPr>
          <w:rFonts w:hint="eastAsia" w:ascii="新宋体" w:hAnsi="新宋体" w:eastAsia="新宋体"/>
          <w:color w:val="000000" w:themeColor="text1"/>
          <w14:textFill>
            <w14:solidFill>
              <w14:schemeClr w14:val="tx1"/>
            </w14:solidFill>
          </w14:textFill>
        </w:rPr>
        <w:t>11</w:t>
      </w:r>
      <w:r>
        <w:rPr>
          <w:rFonts w:ascii="新宋体" w:hAnsi="新宋体" w:eastAsia="新宋体"/>
          <w:color w:val="000000" w:themeColor="text1"/>
          <w14:textFill>
            <w14:solidFill>
              <w14:schemeClr w14:val="tx1"/>
            </w14:solidFill>
          </w14:textFill>
        </w:rPr>
        <w:t>月</w:t>
      </w:r>
      <w:r>
        <w:rPr>
          <w:rFonts w:hint="eastAsia" w:ascii="新宋体" w:hAnsi="新宋体" w:eastAsia="新宋体"/>
          <w:color w:val="000000" w:themeColor="text1"/>
          <w14:textFill>
            <w14:solidFill>
              <w14:schemeClr w14:val="tx1"/>
            </w14:solidFill>
          </w14:textFill>
        </w:rPr>
        <w:t>1</w:t>
      </w:r>
      <w:r>
        <w:rPr>
          <w:rFonts w:ascii="新宋体" w:hAnsi="新宋体" w:eastAsia="新宋体"/>
          <w:color w:val="000000" w:themeColor="text1"/>
          <w14:textFill>
            <w14:solidFill>
              <w14:schemeClr w14:val="tx1"/>
            </w14:solidFill>
          </w14:textFill>
        </w:rPr>
        <w:t>日起施行</w:t>
      </w:r>
      <w:r>
        <w:rPr>
          <w:rFonts w:hint="eastAsia" w:ascii="新宋体" w:hAnsi="新宋体" w:eastAsia="新宋体"/>
          <w:color w:val="000000" w:themeColor="text1"/>
          <w14:textFill>
            <w14:solidFill>
              <w14:schemeClr w14:val="tx1"/>
            </w14:solidFill>
          </w14:textFill>
        </w:rPr>
        <w:t>）；</w:t>
      </w:r>
    </w:p>
    <w:p w14:paraId="23E196D5">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《中华人民共和国民法典》（中华人民共和国主席令第45号，自2021年1月1日起施行）；</w:t>
      </w:r>
    </w:p>
    <w:p w14:paraId="06391C4E">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《中华人民共和国环境保护法》（中华人民共和国主席令[2014]第9号，2015年1月1日施行）；</w:t>
      </w:r>
    </w:p>
    <w:p w14:paraId="584C0964">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ascii="新宋体" w:hAnsi="新宋体" w:eastAsia="新宋体"/>
          <w:color w:val="000000" w:themeColor="text1"/>
          <w14:textFill>
            <w14:solidFill>
              <w14:schemeClr w14:val="tx1"/>
            </w14:solidFill>
          </w14:textFill>
        </w:rPr>
        <w:t>《中华人民共和国水污染防治法》（中华人民共和国主席令第70号修改</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 xml:space="preserve"> 2018年1月1日起施行）</w:t>
      </w:r>
      <w:r>
        <w:rPr>
          <w:rFonts w:hint="eastAsia" w:ascii="新宋体" w:hAnsi="新宋体" w:eastAsia="新宋体"/>
          <w:color w:val="000000" w:themeColor="text1"/>
          <w14:textFill>
            <w14:solidFill>
              <w14:schemeClr w14:val="tx1"/>
            </w14:solidFill>
          </w14:textFill>
        </w:rPr>
        <w:t>；</w:t>
      </w:r>
    </w:p>
    <w:p w14:paraId="714D2E08">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《中华人民共和国反恐怖主义法》（中华人民共和国主席令第36号，2016年1月1日起施行）。</w:t>
      </w:r>
    </w:p>
    <w:p w14:paraId="487FE5EA">
      <w:pPr>
        <w:pStyle w:val="4"/>
        <w:ind w:firstLine="562"/>
        <w:rPr>
          <w:color w:val="000000" w:themeColor="text1"/>
          <w14:textFill>
            <w14:solidFill>
              <w14:schemeClr w14:val="tx1"/>
            </w14:solidFill>
          </w14:textFill>
        </w:rPr>
      </w:pPr>
      <w:bookmarkStart w:id="40" w:name="_Toc30828"/>
      <w:r>
        <w:rPr>
          <w:rFonts w:hint="eastAsia"/>
          <w:color w:val="000000" w:themeColor="text1"/>
          <w14:textFill>
            <w14:solidFill>
              <w14:schemeClr w14:val="tx1"/>
            </w14:solidFill>
          </w14:textFill>
        </w:rPr>
        <w:t>行政法规</w:t>
      </w:r>
      <w:bookmarkEnd w:id="40"/>
    </w:p>
    <w:p w14:paraId="24E609EB">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《危险化学品安全管理条例》（国务院令第</w:t>
      </w:r>
      <w:r>
        <w:rPr>
          <w:rFonts w:ascii="新宋体" w:hAnsi="新宋体" w:eastAsia="新宋体"/>
          <w:color w:val="000000" w:themeColor="text1"/>
          <w14:textFill>
            <w14:solidFill>
              <w14:schemeClr w14:val="tx1"/>
            </w14:solidFill>
          </w14:textFill>
        </w:rPr>
        <w:t>591</w:t>
      </w:r>
      <w:r>
        <w:rPr>
          <w:rFonts w:hint="eastAsia" w:ascii="新宋体" w:hAnsi="新宋体" w:eastAsia="新宋体"/>
          <w:color w:val="000000" w:themeColor="text1"/>
          <w14:textFill>
            <w14:solidFill>
              <w14:schemeClr w14:val="tx1"/>
            </w14:solidFill>
          </w14:textFill>
        </w:rPr>
        <w:t>号发布，国务院令第645号修订，2013年12月7日施行）；</w:t>
      </w:r>
    </w:p>
    <w:p w14:paraId="5ECC5CA5">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color w:val="000000" w:themeColor="text1"/>
          <w14:textFill>
            <w14:solidFill>
              <w14:schemeClr w14:val="tx1"/>
            </w14:solidFill>
          </w14:textFill>
        </w:rPr>
        <w:t>《生产安全事故应急条例》（国务院第7</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号令，2</w:t>
      </w:r>
      <w:r>
        <w:rPr>
          <w:color w:val="000000" w:themeColor="text1"/>
          <w14:textFill>
            <w14:solidFill>
              <w14:schemeClr w14:val="tx1"/>
            </w14:solidFill>
          </w14:textFill>
        </w:rPr>
        <w:t>019</w:t>
      </w:r>
      <w:r>
        <w:rPr>
          <w:rFonts w:hint="eastAsia"/>
          <w:color w:val="000000" w:themeColor="text1"/>
          <w14:textFill>
            <w14:solidFill>
              <w14:schemeClr w14:val="tx1"/>
            </w14:solidFill>
          </w14:textFill>
        </w:rPr>
        <w:t>年4月1日起施行）；</w:t>
      </w:r>
    </w:p>
    <w:p w14:paraId="0A46C843">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《工伤保险条例》（国务院令第586号，2011年1月1日施行）</w:t>
      </w:r>
      <w:r>
        <w:rPr>
          <w:rFonts w:hint="eastAsia"/>
          <w:color w:val="000000" w:themeColor="text1"/>
          <w14:textFill>
            <w14:solidFill>
              <w14:schemeClr w14:val="tx1"/>
            </w14:solidFill>
          </w14:textFill>
        </w:rPr>
        <w:t>。</w:t>
      </w:r>
    </w:p>
    <w:p w14:paraId="01841AF0">
      <w:pPr>
        <w:pStyle w:val="4"/>
        <w:ind w:firstLine="560" w:firstLineChars="200"/>
        <w:jc w:val="both"/>
        <w:rPr>
          <w:color w:val="000000" w:themeColor="text1"/>
          <w14:textFill>
            <w14:solidFill>
              <w14:schemeClr w14:val="tx1"/>
            </w14:solidFill>
          </w14:textFill>
        </w:rPr>
      </w:pPr>
      <w:bookmarkStart w:id="41" w:name="_Toc456527661"/>
      <w:bookmarkStart w:id="42" w:name="_Toc28299809"/>
      <w:bookmarkStart w:id="43" w:name="_Toc12962"/>
      <w:r>
        <w:rPr>
          <w:rFonts w:hint="eastAsia"/>
          <w:color w:val="000000" w:themeColor="text1"/>
          <w14:textFill>
            <w14:solidFill>
              <w14:schemeClr w14:val="tx1"/>
            </w14:solidFill>
          </w14:textFill>
        </w:rPr>
        <w:t>部门规章及规范性文件</w:t>
      </w:r>
      <w:bookmarkEnd w:id="41"/>
      <w:bookmarkEnd w:id="42"/>
      <w:bookmarkEnd w:id="43"/>
    </w:p>
    <w:p w14:paraId="2BF5E233">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bookmarkStart w:id="44" w:name="_Toc109564195"/>
      <w:bookmarkStart w:id="45" w:name="_Toc109564558"/>
      <w:bookmarkStart w:id="46" w:name="_Toc187699875"/>
      <w:bookmarkStart w:id="47" w:name="_Toc187780645"/>
      <w:bookmarkStart w:id="48" w:name="_Toc108697371"/>
      <w:bookmarkStart w:id="49" w:name="_Toc109559447"/>
      <w:bookmarkStart w:id="50" w:name="_Toc151881372"/>
      <w:bookmarkStart w:id="51" w:name="_Toc109564940"/>
      <w:bookmarkStart w:id="52" w:name="_Toc135136997"/>
      <w:bookmarkStart w:id="53" w:name="_Toc134710963"/>
      <w:bookmarkStart w:id="54" w:name="_Toc134875860"/>
      <w:r>
        <w:rPr>
          <w:rFonts w:hint="eastAsia" w:ascii="新宋体" w:hAnsi="新宋体" w:eastAsia="新宋体"/>
          <w:color w:val="000000" w:themeColor="text1"/>
          <w14:textFill>
            <w14:solidFill>
              <w14:schemeClr w14:val="tx1"/>
            </w14:solidFill>
          </w14:textFill>
        </w:rPr>
        <w:t>《危险化学品经营许可证管理办法》（国家安全生产监督管理总局令第55号令，79号令修改，2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14:paraId="597C602F">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《建设项目安全设施“三同时”监督管理暂行办法》（</w:t>
      </w:r>
      <w:r>
        <w:rPr>
          <w:rFonts w:ascii="新宋体" w:hAnsi="新宋体" w:eastAsia="新宋体"/>
          <w:color w:val="000000" w:themeColor="text1"/>
          <w14:textFill>
            <w14:solidFill>
              <w14:schemeClr w14:val="tx1"/>
            </w14:solidFill>
          </w14:textFill>
        </w:rPr>
        <w:t>2010</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14</w:t>
      </w:r>
      <w:r>
        <w:rPr>
          <w:rFonts w:hint="eastAsia" w:ascii="新宋体" w:hAnsi="新宋体" w:eastAsia="新宋体"/>
          <w:color w:val="000000" w:themeColor="text1"/>
          <w14:textFill>
            <w14:solidFill>
              <w14:schemeClr w14:val="tx1"/>
            </w14:solidFill>
          </w14:textFill>
        </w:rPr>
        <w:t>日国家安全监管总局令第3</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号公布，根据</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日国家安全监管总局令第</w:t>
      </w:r>
      <w:r>
        <w:rPr>
          <w:rFonts w:ascii="新宋体" w:hAnsi="新宋体" w:eastAsia="新宋体"/>
          <w:color w:val="000000" w:themeColor="text1"/>
          <w14:textFill>
            <w14:solidFill>
              <w14:schemeClr w14:val="tx1"/>
            </w14:solidFill>
          </w14:textFill>
        </w:rPr>
        <w:t>77</w:t>
      </w:r>
      <w:r>
        <w:rPr>
          <w:rFonts w:hint="eastAsia" w:ascii="新宋体" w:hAnsi="新宋体" w:eastAsia="新宋体"/>
          <w:color w:val="000000" w:themeColor="text1"/>
          <w14:textFill>
            <w14:solidFill>
              <w14:schemeClr w14:val="tx1"/>
            </w14:solidFill>
          </w14:textFill>
        </w:rPr>
        <w:t>号修正）；</w:t>
      </w:r>
    </w:p>
    <w:p w14:paraId="47DB5198">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《化工和危险化学品生产经营单位重大生产安全事故隐患判定标准（试行）》（安监总管三〔2017〕121号）；</w:t>
      </w:r>
    </w:p>
    <w:p w14:paraId="6F4AFBB7">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《生产安全事故应急预案管理办法》（国家安全生产监督管理总局令第88号，应急管理部2号令修订，2019年9月1日起施行）；</w:t>
      </w:r>
    </w:p>
    <w:p w14:paraId="4DBE2E21">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《危险化学品建设项目安全监督管理办法》（国家安全生产监督管理总局令第45号，79号令修改，2015年7月1日起施行）；</w:t>
      </w:r>
    </w:p>
    <w:p w14:paraId="5A96ABE2">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《国家安全监管总局关于修改〈生产经营单位安全培训规定〉等</w:t>
      </w:r>
      <w:r>
        <w:rPr>
          <w:rFonts w:ascii="新宋体" w:hAnsi="新宋体" w:eastAsia="新宋体"/>
          <w:color w:val="000000" w:themeColor="text1"/>
          <w14:textFill>
            <w14:solidFill>
              <w14:schemeClr w14:val="tx1"/>
            </w14:solidFill>
          </w14:textFill>
        </w:rPr>
        <w:t>11</w:t>
      </w:r>
      <w:r>
        <w:rPr>
          <w:rFonts w:hint="eastAsia" w:ascii="新宋体" w:hAnsi="新宋体" w:eastAsia="新宋体"/>
          <w:color w:val="000000" w:themeColor="text1"/>
          <w14:textFill>
            <w14:solidFill>
              <w14:schemeClr w14:val="tx1"/>
            </w14:solidFill>
          </w14:textFill>
        </w:rPr>
        <w:t>件规章的决定》（国家安全生产监督管理总局令第63号令，</w:t>
      </w:r>
      <w:r>
        <w:rPr>
          <w:rFonts w:ascii="新宋体" w:hAnsi="新宋体" w:eastAsia="新宋体"/>
          <w:color w:val="000000" w:themeColor="text1"/>
          <w14:textFill>
            <w14:solidFill>
              <w14:schemeClr w14:val="tx1"/>
            </w14:solidFill>
          </w14:textFill>
        </w:rPr>
        <w:t>2013</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8</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日起施行）；</w:t>
      </w:r>
    </w:p>
    <w:p w14:paraId="7147C941">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生产安全事故报告和调查处理条例</w:t>
      </w:r>
      <w:r>
        <w:rPr>
          <w:rFonts w:ascii="新宋体" w:hAnsi="新宋体" w:eastAsia="新宋体"/>
          <w:color w:val="000000" w:themeColor="text1"/>
          <w14:textFill>
            <w14:solidFill>
              <w14:schemeClr w14:val="tx1"/>
            </w14:solidFill>
          </w14:textFill>
        </w:rPr>
        <w:t>&gt;</w:t>
      </w:r>
      <w:r>
        <w:rPr>
          <w:rFonts w:hint="eastAsia" w:ascii="新宋体" w:hAnsi="新宋体" w:eastAsia="新宋体"/>
          <w:color w:val="000000" w:themeColor="text1"/>
          <w14:textFill>
            <w14:solidFill>
              <w14:schemeClr w14:val="tx1"/>
            </w14:solidFill>
          </w14:textFill>
        </w:rPr>
        <w:t>罚款处罚暂行规定等四部规章的决定》（国家安全生产监督管理总局令第77号令，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14:paraId="5AAAE4CF">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《国家安全监管总局关于废止和修改危险化学品等领域七部规章的决定》（国家安全生产监督管理总局令第79号令，2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14:paraId="684C661F">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kern w:val="0"/>
          <w14:textFill>
            <w14:solidFill>
              <w14:schemeClr w14:val="tx1"/>
            </w14:solidFill>
          </w14:textFill>
        </w:rPr>
        <w:t>《国家安全监管总局关于废止和修改劳动防护用品和安全培训等领域十部规章的决定》</w:t>
      </w:r>
      <w:r>
        <w:rPr>
          <w:rFonts w:hint="eastAsia" w:ascii="新宋体" w:hAnsi="新宋体" w:eastAsia="新宋体"/>
          <w:color w:val="000000" w:themeColor="text1"/>
          <w14:textFill>
            <w14:solidFill>
              <w14:schemeClr w14:val="tx1"/>
            </w14:solidFill>
          </w14:textFill>
        </w:rPr>
        <w:t>（国家安全生产监督管理总局令第80号令，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7</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14:paraId="7070204D">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《首批重点监管的危险化学品名录》（安监总管三〔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95</w:t>
      </w:r>
      <w:r>
        <w:rPr>
          <w:rFonts w:hint="eastAsia" w:ascii="新宋体" w:hAnsi="新宋体" w:eastAsia="新宋体"/>
          <w:color w:val="000000" w:themeColor="text1"/>
          <w14:textFill>
            <w14:solidFill>
              <w14:schemeClr w14:val="tx1"/>
            </w14:solidFill>
          </w14:textFill>
        </w:rPr>
        <w:t>号）；</w:t>
      </w:r>
    </w:p>
    <w:p w14:paraId="4FDFFADD">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《关于公布第二批重点监管的危险化学品名录的通知》（安监总管三〔</w:t>
      </w:r>
      <w:r>
        <w:rPr>
          <w:rFonts w:ascii="新宋体" w:hAnsi="新宋体" w:eastAsia="新宋体"/>
          <w:color w:val="000000" w:themeColor="text1"/>
          <w14:textFill>
            <w14:solidFill>
              <w14:schemeClr w14:val="tx1"/>
            </w14:solidFill>
          </w14:textFill>
        </w:rPr>
        <w:t>201</w:t>
      </w:r>
      <w:r>
        <w:rPr>
          <w:rFonts w:hint="eastAsia" w:ascii="新宋体" w:hAnsi="新宋体" w:eastAsia="新宋体"/>
          <w:color w:val="000000" w:themeColor="text1"/>
          <w14:textFill>
            <w14:solidFill>
              <w14:schemeClr w14:val="tx1"/>
            </w14:solidFill>
          </w14:textFill>
        </w:rPr>
        <w:t>3〕</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号）；</w:t>
      </w:r>
    </w:p>
    <w:p w14:paraId="7DC60D4E">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《关于印发首批重点监管的危险化学品安全措施和应急处置原则的通知》（总厅管三〔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142</w:t>
      </w:r>
      <w:r>
        <w:rPr>
          <w:rFonts w:hint="eastAsia" w:ascii="新宋体" w:hAnsi="新宋体" w:eastAsia="新宋体"/>
          <w:color w:val="000000" w:themeColor="text1"/>
          <w14:textFill>
            <w14:solidFill>
              <w14:schemeClr w14:val="tx1"/>
            </w14:solidFill>
          </w14:textFill>
        </w:rPr>
        <w:t>号）；</w:t>
      </w:r>
    </w:p>
    <w:p w14:paraId="0870BC6C">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《危险化学品建设项目安全设施目录（试行）》（安监总危化[2007]225号）；</w:t>
      </w:r>
    </w:p>
    <w:p w14:paraId="258B87E5">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《国家安全监管总局关于修改和废止部分规章及规范性文件的决定》（国家安全生产监督总局令第</w:t>
      </w:r>
      <w:r>
        <w:rPr>
          <w:rFonts w:ascii="新宋体" w:hAnsi="新宋体" w:eastAsia="新宋体"/>
          <w:color w:val="000000" w:themeColor="text1"/>
          <w14:textFill>
            <w14:solidFill>
              <w14:schemeClr w14:val="tx1"/>
            </w14:solidFill>
          </w14:textFill>
        </w:rPr>
        <w:t>89</w:t>
      </w:r>
      <w:r>
        <w:rPr>
          <w:rFonts w:hint="eastAsia" w:ascii="新宋体" w:hAnsi="新宋体" w:eastAsia="新宋体"/>
          <w:color w:val="000000" w:themeColor="text1"/>
          <w14:textFill>
            <w14:solidFill>
              <w14:schemeClr w14:val="tx1"/>
            </w14:solidFill>
          </w14:textFill>
        </w:rPr>
        <w:t>号令，</w:t>
      </w:r>
      <w:r>
        <w:rPr>
          <w:rFonts w:ascii="新宋体" w:hAnsi="新宋体" w:eastAsia="新宋体"/>
          <w:color w:val="000000" w:themeColor="text1"/>
          <w14:textFill>
            <w14:solidFill>
              <w14:schemeClr w14:val="tx1"/>
            </w14:solidFill>
          </w14:textFill>
        </w:rPr>
        <w:t>2017</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日起施行）；</w:t>
      </w:r>
    </w:p>
    <w:p w14:paraId="718A1632">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《职业病危害因素分类目录》（国卫疾控发〔2015〕92号）；</w:t>
      </w:r>
    </w:p>
    <w:p w14:paraId="560851A4">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《消防安全责任制实施办法》（国办发[2017]87号）；</w:t>
      </w:r>
    </w:p>
    <w:p w14:paraId="02DC0E15">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《国家安全监管总局办公厅关于进一步加强加油站安全生产工作的通知》（安监总厅管三〔2016〕8号）；</w:t>
      </w:r>
    </w:p>
    <w:p w14:paraId="72F3E923">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bookmarkStart w:id="55" w:name="_Hlk3458173"/>
      <w:r>
        <w:rPr>
          <w:rFonts w:hint="eastAsia" w:ascii="新宋体" w:hAnsi="新宋体" w:eastAsia="新宋体"/>
          <w:color w:val="000000" w:themeColor="text1"/>
          <w14:textFill>
            <w14:solidFill>
              <w14:schemeClr w14:val="tx1"/>
            </w14:solidFill>
          </w14:textFill>
        </w:rPr>
        <w:t>《安全生产责任保险实施办法》（安监总办〔2017〕140号，自2018年1月1日实施）；</w:t>
      </w:r>
    </w:p>
    <w:bookmarkEnd w:id="55"/>
    <w:p w14:paraId="1829A0BE">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《危险化学品目录》（2022年调整，中华人民共和国应急管理部等10部门公告2022年第8号，2023年1月1日实施）；</w:t>
      </w:r>
    </w:p>
    <w:p w14:paraId="5C135B04">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《易制爆危险化学品名录》（公安部，2017年版）；</w:t>
      </w:r>
    </w:p>
    <w:p w14:paraId="765E04BC">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《特别管控危险化学品目录（第一版）》（应急管理部、工业和信息化部、公安部及交通运输部2</w:t>
      </w:r>
      <w:r>
        <w:rPr>
          <w:rFonts w:ascii="新宋体" w:hAnsi="新宋体" w:eastAsia="新宋体"/>
          <w:color w:val="000000" w:themeColor="text1"/>
          <w14:textFill>
            <w14:solidFill>
              <w14:schemeClr w14:val="tx1"/>
            </w14:solidFill>
          </w14:textFill>
        </w:rPr>
        <w:t>020</w:t>
      </w:r>
      <w:r>
        <w:rPr>
          <w:rFonts w:hint="eastAsia" w:ascii="新宋体" w:hAnsi="新宋体" w:eastAsia="新宋体"/>
          <w:color w:val="000000" w:themeColor="text1"/>
          <w14:textFill>
            <w14:solidFill>
              <w14:schemeClr w14:val="tx1"/>
            </w14:solidFill>
          </w14:textFill>
        </w:rPr>
        <w:t>年第</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号公告）；</w:t>
      </w:r>
    </w:p>
    <w:p w14:paraId="33E065F7">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《财政部应急部关于印发</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企业安全生产费用提取和使用管理办法&gt;的通知》（财资〔2022〕136号）；</w:t>
      </w:r>
    </w:p>
    <w:p w14:paraId="78C7B89C">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《应急管理部办公厅关于修改《危险化学品目录（2015版）实施指南（试行）》涉及柴油部分内容的通知》（</w:t>
      </w:r>
      <w:r>
        <w:rPr>
          <w:rFonts w:ascii="新宋体" w:hAnsi="新宋体" w:eastAsia="新宋体"/>
          <w:color w:val="000000" w:themeColor="text1"/>
          <w14:textFill>
            <w14:solidFill>
              <w14:schemeClr w14:val="tx1"/>
            </w14:solidFill>
          </w14:textFill>
        </w:rPr>
        <w:t>应急厅函〔2022〕300号</w:t>
      </w:r>
      <w:r>
        <w:rPr>
          <w:rFonts w:hint="eastAsia" w:ascii="新宋体" w:hAnsi="新宋体" w:eastAsia="新宋体"/>
          <w:color w:val="000000" w:themeColor="text1"/>
          <w14:textFill>
            <w14:solidFill>
              <w14:schemeClr w14:val="tx1"/>
            </w14:solidFill>
          </w14:textFill>
        </w:rPr>
        <w:t>，2022年12月5日发布，2023年1月1日起实施）；</w:t>
      </w:r>
    </w:p>
    <w:p w14:paraId="3D5DDA01">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《应急管理部办公厅关于做好柴油安全许可证有关工作的通知》（应急厅函[2022]317号）；</w:t>
      </w:r>
    </w:p>
    <w:p w14:paraId="66D2CD88">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《生产安全事故罚款处罚规定》（应急管理部令第14号）。</w:t>
      </w:r>
    </w:p>
    <w:p w14:paraId="5FE5963C">
      <w:pPr>
        <w:pStyle w:val="4"/>
        <w:ind w:firstLine="562"/>
        <w:rPr>
          <w:color w:val="000000" w:themeColor="text1"/>
          <w14:textFill>
            <w14:solidFill>
              <w14:schemeClr w14:val="tx1"/>
            </w14:solidFill>
          </w14:textFill>
        </w:rPr>
      </w:pPr>
      <w:bookmarkStart w:id="56" w:name="_Toc14541"/>
      <w:bookmarkStart w:id="57" w:name="_Toc28299810"/>
      <w:bookmarkStart w:id="58" w:name="_Toc456527662"/>
      <w:r>
        <w:rPr>
          <w:rFonts w:hint="eastAsia"/>
          <w:color w:val="000000" w:themeColor="text1"/>
          <w14:textFill>
            <w14:solidFill>
              <w14:schemeClr w14:val="tx1"/>
            </w14:solidFill>
          </w14:textFill>
        </w:rPr>
        <w:t>地方性法规及规定</w:t>
      </w:r>
      <w:bookmarkEnd w:id="56"/>
    </w:p>
    <w:p w14:paraId="06D773B6">
      <w:pPr>
        <w:rPr>
          <w:color w:val="000000" w:themeColor="text1"/>
          <w14:textFill>
            <w14:solidFill>
              <w14:schemeClr w14:val="tx1"/>
            </w14:solidFill>
          </w14:textFill>
        </w:rPr>
      </w:pPr>
      <w:r>
        <w:rPr>
          <w:rFonts w:hint="eastAsia"/>
          <w:color w:val="000000" w:themeColor="text1"/>
          <w14:textFill>
            <w14:solidFill>
              <w14:schemeClr w14:val="tx1"/>
            </w14:solidFill>
          </w14:textFill>
        </w:rPr>
        <w:t>1.《云南省安全生产条例》（2017年11月30日经云南省第十二届人大常委会第三十八次会议审议通过，2018年1月1日起施行）；</w:t>
      </w:r>
    </w:p>
    <w:p w14:paraId="677F01A1">
      <w:pPr>
        <w:rPr>
          <w:color w:val="000000" w:themeColor="text1"/>
          <w14:textFill>
            <w14:solidFill>
              <w14:schemeClr w14:val="tx1"/>
            </w14:solidFill>
          </w14:textFill>
        </w:rPr>
      </w:pPr>
      <w:r>
        <w:rPr>
          <w:rFonts w:hint="eastAsia"/>
          <w:color w:val="000000" w:themeColor="text1"/>
          <w14:textFill>
            <w14:solidFill>
              <w14:schemeClr w14:val="tx1"/>
            </w14:solidFill>
          </w14:textFill>
        </w:rPr>
        <w:t>2.《云南省安全生产委员会关于进一步落实企业全员安全生产责任制的指导意见》（云安〔2017〕10号）；</w:t>
      </w:r>
    </w:p>
    <w:p w14:paraId="2174CD39">
      <w:pPr>
        <w:rPr>
          <w:color w:val="000000" w:themeColor="text1"/>
          <w14:textFill>
            <w14:solidFill>
              <w14:schemeClr w14:val="tx1"/>
            </w14:solidFill>
          </w14:textFill>
        </w:rPr>
      </w:pPr>
      <w:r>
        <w:rPr>
          <w:rFonts w:hint="eastAsia"/>
          <w:color w:val="000000" w:themeColor="text1"/>
          <w14:textFill>
            <w14:solidFill>
              <w14:schemeClr w14:val="tx1"/>
            </w14:solidFill>
          </w14:textFill>
        </w:rPr>
        <w:t>3.《云南省生产经营单位安全生产主体责任规定》（云南省人民政府云政规〔2022〕4号）；</w:t>
      </w:r>
    </w:p>
    <w:p w14:paraId="43FAA5B8">
      <w:pPr>
        <w:rPr>
          <w:color w:val="000000" w:themeColor="text1"/>
          <w14:textFill>
            <w14:solidFill>
              <w14:schemeClr w14:val="tx1"/>
            </w14:solidFill>
          </w14:textFill>
        </w:rPr>
      </w:pPr>
      <w:r>
        <w:rPr>
          <w:rFonts w:hint="eastAsia"/>
          <w:color w:val="000000" w:themeColor="text1"/>
          <w14:textFill>
            <w14:solidFill>
              <w14:schemeClr w14:val="tx1"/>
            </w14:solidFill>
          </w14:textFill>
        </w:rPr>
        <w:t>4.《云南省应急管理厅办公室转发应急管理部关于认真做好柴油安全许可证有关工作的通知》；</w:t>
      </w:r>
    </w:p>
    <w:p w14:paraId="12F2B362">
      <w:pPr>
        <w:rPr>
          <w:color w:val="000000" w:themeColor="text1"/>
          <w14:textFill>
            <w14:solidFill>
              <w14:schemeClr w14:val="tx1"/>
            </w14:solidFill>
          </w14:textFill>
        </w:rPr>
      </w:pPr>
      <w:r>
        <w:rPr>
          <w:rFonts w:hint="eastAsia"/>
          <w:color w:val="000000" w:themeColor="text1"/>
          <w14:textFill>
            <w14:solidFill>
              <w14:schemeClr w14:val="tx1"/>
            </w14:solidFill>
          </w14:textFill>
        </w:rPr>
        <w:t>5.《云南省生产安全事故应急办法》（</w:t>
      </w:r>
      <w:r>
        <w:rPr>
          <w:color w:val="000000" w:themeColor="text1"/>
          <w14:textFill>
            <w14:solidFill>
              <w14:schemeClr w14:val="tx1"/>
            </w14:solidFill>
          </w14:textFill>
        </w:rPr>
        <w:t>省政府令第227号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2024年2月1日起施行</w:t>
      </w:r>
      <w:r>
        <w:rPr>
          <w:rFonts w:hint="eastAsia"/>
          <w:color w:val="000000" w:themeColor="text1"/>
          <w14:textFill>
            <w14:solidFill>
              <w14:schemeClr w14:val="tx1"/>
            </w14:solidFill>
          </w14:textFill>
        </w:rPr>
        <w:t>）。</w:t>
      </w:r>
    </w:p>
    <w:p w14:paraId="130EB58E">
      <w:pPr>
        <w:pStyle w:val="4"/>
        <w:ind w:firstLine="562"/>
        <w:rPr>
          <w:color w:val="000000" w:themeColor="text1"/>
          <w14:textFill>
            <w14:solidFill>
              <w14:schemeClr w14:val="tx1"/>
            </w14:solidFill>
          </w14:textFill>
        </w:rPr>
      </w:pPr>
      <w:bookmarkStart w:id="59" w:name="_Toc23700"/>
      <w:r>
        <w:rPr>
          <w:rFonts w:hint="eastAsia"/>
          <w:color w:val="000000" w:themeColor="text1"/>
          <w14:textFill>
            <w14:solidFill>
              <w14:schemeClr w14:val="tx1"/>
            </w14:solidFill>
          </w14:textFill>
        </w:rPr>
        <w:t>国家</w:t>
      </w:r>
      <w:r>
        <w:rPr>
          <w:color w:val="000000" w:themeColor="text1"/>
          <w14:textFill>
            <w14:solidFill>
              <w14:schemeClr w14:val="tx1"/>
            </w14:solidFill>
          </w14:textFill>
        </w:rPr>
        <w:t>标准</w:t>
      </w:r>
      <w:bookmarkEnd w:id="44"/>
      <w:bookmarkEnd w:id="45"/>
      <w:bookmarkEnd w:id="46"/>
      <w:bookmarkEnd w:id="47"/>
      <w:bookmarkEnd w:id="48"/>
      <w:bookmarkEnd w:id="49"/>
      <w:bookmarkEnd w:id="50"/>
      <w:bookmarkEnd w:id="51"/>
      <w:bookmarkEnd w:id="52"/>
      <w:bookmarkEnd w:id="53"/>
      <w:bookmarkEnd w:id="54"/>
      <w:bookmarkEnd w:id="57"/>
      <w:bookmarkEnd w:id="58"/>
      <w:bookmarkEnd w:id="59"/>
    </w:p>
    <w:p w14:paraId="75FE2C52">
      <w:pPr>
        <w:rPr>
          <w:color w:val="000000" w:themeColor="text1"/>
          <w14:textFill>
            <w14:solidFill>
              <w14:schemeClr w14:val="tx1"/>
            </w14:solidFill>
          </w14:textFill>
        </w:rPr>
      </w:pPr>
      <w:r>
        <w:rPr>
          <w:rFonts w:hint="eastAsia"/>
          <w:color w:val="000000" w:themeColor="text1"/>
          <w14:textFill>
            <w14:solidFill>
              <w14:schemeClr w14:val="tx1"/>
            </w14:solidFill>
          </w14:textFill>
        </w:rPr>
        <w:t>（1）《汽车加油加气加氢站技术标准》（GB50156-2021）；</w:t>
      </w:r>
    </w:p>
    <w:p w14:paraId="70317B63">
      <w:pPr>
        <w:rPr>
          <w:color w:val="000000" w:themeColor="text1"/>
          <w14:textFill>
            <w14:solidFill>
              <w14:schemeClr w14:val="tx1"/>
            </w14:solidFill>
          </w14:textFill>
        </w:rPr>
      </w:pPr>
      <w:r>
        <w:rPr>
          <w:rFonts w:hint="eastAsia"/>
          <w:color w:val="000000" w:themeColor="text1"/>
          <w14:textFill>
            <w14:solidFill>
              <w14:schemeClr w14:val="tx1"/>
            </w14:solidFill>
          </w14:textFill>
        </w:rPr>
        <w:t>（2）《建筑设计防火规范（2018年版）》（GB50016-2014）；</w:t>
      </w:r>
    </w:p>
    <w:p w14:paraId="60EDDBEA">
      <w:pPr>
        <w:rPr>
          <w:color w:val="000000" w:themeColor="text1"/>
          <w14:textFill>
            <w14:solidFill>
              <w14:schemeClr w14:val="tx1"/>
            </w14:solidFill>
          </w14:textFill>
        </w:rPr>
      </w:pPr>
      <w:r>
        <w:rPr>
          <w:rFonts w:hint="eastAsia"/>
          <w:color w:val="000000" w:themeColor="text1"/>
          <w14:textFill>
            <w14:solidFill>
              <w14:schemeClr w14:val="tx1"/>
            </w14:solidFill>
          </w14:textFill>
        </w:rPr>
        <w:t>（3）《消防设施通用规范》（GB55036-2022）；</w:t>
      </w:r>
    </w:p>
    <w:p w14:paraId="77427941">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rFonts w:hint="eastAsia"/>
          <w:color w:val="000000" w:themeColor="text1"/>
          <w:lang w:eastAsia="zh-CN"/>
          <w14:textFill>
            <w14:solidFill>
              <w14:schemeClr w14:val="tx1"/>
            </w14:solidFill>
          </w14:textFill>
        </w:rPr>
        <w:t>建筑抗震设计规范（2024年版）</w:t>
      </w:r>
      <w:r>
        <w:rPr>
          <w:rFonts w:hint="eastAsia"/>
          <w:color w:val="000000" w:themeColor="text1"/>
          <w14:textFill>
            <w14:solidFill>
              <w14:schemeClr w14:val="tx1"/>
            </w14:solidFill>
          </w14:textFill>
        </w:rPr>
        <w:t>》（GB50011-2010）；</w:t>
      </w:r>
    </w:p>
    <w:p w14:paraId="1630258C">
      <w:pPr>
        <w:rPr>
          <w:color w:val="000000" w:themeColor="text1"/>
          <w14:textFill>
            <w14:solidFill>
              <w14:schemeClr w14:val="tx1"/>
            </w14:solidFill>
          </w14:textFill>
        </w:rPr>
      </w:pPr>
      <w:r>
        <w:rPr>
          <w:rFonts w:hint="eastAsia"/>
          <w:color w:val="000000" w:themeColor="text1"/>
          <w14:textFill>
            <w14:solidFill>
              <w14:schemeClr w14:val="tx1"/>
            </w14:solidFill>
          </w14:textFill>
        </w:rPr>
        <w:t>（5）《危险化学品仓库储存通则》（GB15603-2022）；</w:t>
      </w:r>
    </w:p>
    <w:p w14:paraId="53910CA7">
      <w:pPr>
        <w:rPr>
          <w:color w:val="000000" w:themeColor="text1"/>
          <w14:textFill>
            <w14:solidFill>
              <w14:schemeClr w14:val="tx1"/>
            </w14:solidFill>
          </w14:textFill>
        </w:rPr>
      </w:pPr>
      <w:r>
        <w:rPr>
          <w:rFonts w:hint="eastAsia"/>
          <w:color w:val="000000" w:themeColor="text1"/>
          <w14:textFill>
            <w14:solidFill>
              <w14:schemeClr w14:val="tx1"/>
            </w14:solidFill>
          </w14:textFill>
        </w:rPr>
        <w:t>（6）《危险化学品重大危险源辨识》（GB18218-2018）；</w:t>
      </w:r>
    </w:p>
    <w:p w14:paraId="5B62E429">
      <w:pPr>
        <w:rPr>
          <w:color w:val="000000" w:themeColor="text1"/>
          <w14:textFill>
            <w14:solidFill>
              <w14:schemeClr w14:val="tx1"/>
            </w14:solidFill>
          </w14:textFill>
        </w:rPr>
      </w:pPr>
      <w:r>
        <w:rPr>
          <w:rFonts w:hint="eastAsia"/>
          <w:color w:val="000000" w:themeColor="text1"/>
          <w14:textFill>
            <w14:solidFill>
              <w14:schemeClr w14:val="tx1"/>
            </w14:solidFill>
          </w14:textFill>
        </w:rPr>
        <w:t>（7）《易燃易爆性商品储藏养护技术条件》（GB17914-2013）；</w:t>
      </w:r>
    </w:p>
    <w:p w14:paraId="52C72700">
      <w:pPr>
        <w:rPr>
          <w:color w:val="000000" w:themeColor="text1"/>
          <w14:textFill>
            <w14:solidFill>
              <w14:schemeClr w14:val="tx1"/>
            </w14:solidFill>
          </w14:textFill>
        </w:rPr>
      </w:pPr>
      <w:r>
        <w:rPr>
          <w:rFonts w:hint="eastAsia"/>
          <w:color w:val="000000" w:themeColor="text1"/>
          <w14:textFill>
            <w14:solidFill>
              <w14:schemeClr w14:val="tx1"/>
            </w14:solidFill>
          </w14:textFill>
        </w:rPr>
        <w:t>（8）《建筑灭火器配置设计规范》（GB50140-2005）；</w:t>
      </w:r>
    </w:p>
    <w:p w14:paraId="548ADA5A">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（9）《安全标志及其使用导则》（GB2894-2008）；</w:t>
      </w:r>
    </w:p>
    <w:p w14:paraId="4FC18F85">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）《电气装置安装工程 低压电器施工及验收规范》（GB50254-2014）；</w:t>
      </w:r>
    </w:p>
    <w:p w14:paraId="34944A1C">
      <w:pPr>
        <w:rPr>
          <w:color w:val="000000" w:themeColor="text1"/>
          <w14:textFill>
            <w14:solidFill>
              <w14:schemeClr w14:val="tx1"/>
            </w14:solidFill>
          </w14:textFill>
        </w:rPr>
      </w:pPr>
      <w:r>
        <w:rPr>
          <w:rFonts w:hint="eastAsia"/>
          <w:color w:val="000000" w:themeColor="text1"/>
          <w14:textFill>
            <w14:solidFill>
              <w14:schemeClr w14:val="tx1"/>
            </w14:solidFill>
          </w14:textFill>
        </w:rPr>
        <w:t>（11）《建筑物防雷设计规范》（GB50057-2010）；</w:t>
      </w:r>
    </w:p>
    <w:p w14:paraId="5E51529E">
      <w:pPr>
        <w:rPr>
          <w:color w:val="000000" w:themeColor="text1"/>
          <w14:textFill>
            <w14:solidFill>
              <w14:schemeClr w14:val="tx1"/>
            </w14:solidFill>
          </w14:textFill>
        </w:rPr>
      </w:pPr>
      <w:r>
        <w:rPr>
          <w:rFonts w:hint="eastAsia"/>
          <w:color w:val="000000" w:themeColor="text1"/>
          <w14:textFill>
            <w14:solidFill>
              <w14:schemeClr w14:val="tx1"/>
            </w14:solidFill>
          </w14:textFill>
        </w:rPr>
        <w:t>（12）《化学品分类和危险性公示通则》（GB13690-2009）；</w:t>
      </w:r>
    </w:p>
    <w:p w14:paraId="1DE01A6E">
      <w:pPr>
        <w:rPr>
          <w:color w:val="000000" w:themeColor="text1"/>
          <w14:textFill>
            <w14:solidFill>
              <w14:schemeClr w14:val="tx1"/>
            </w14:solidFill>
          </w14:textFill>
        </w:rPr>
      </w:pPr>
      <w:r>
        <w:rPr>
          <w:rFonts w:hint="eastAsia"/>
          <w:color w:val="000000" w:themeColor="text1"/>
          <w14:textFill>
            <w14:solidFill>
              <w14:schemeClr w14:val="tx1"/>
            </w14:solidFill>
          </w14:textFill>
        </w:rPr>
        <w:t>（13）《防止静电事故通用导则》（GB12158-2006）；</w:t>
      </w:r>
    </w:p>
    <w:p w14:paraId="32306242">
      <w:pPr>
        <w:rPr>
          <w:color w:val="000000" w:themeColor="text1"/>
          <w14:textFill>
            <w14:solidFill>
              <w14:schemeClr w14:val="tx1"/>
            </w14:solidFill>
          </w14:textFill>
        </w:rPr>
      </w:pPr>
      <w:r>
        <w:rPr>
          <w:rFonts w:hint="eastAsia"/>
          <w:color w:val="000000" w:themeColor="text1"/>
          <w14:textFill>
            <w14:solidFill>
              <w14:schemeClr w14:val="tx1"/>
            </w14:solidFill>
          </w14:textFill>
        </w:rPr>
        <w:t>（14）《爆炸危险环境电力装置设计规范》（GB50058-2014）；</w:t>
      </w:r>
    </w:p>
    <w:p w14:paraId="34DFA649">
      <w:pPr>
        <w:rPr>
          <w:color w:val="000000" w:themeColor="text1"/>
          <w14:textFill>
            <w14:solidFill>
              <w14:schemeClr w14:val="tx1"/>
            </w14:solidFill>
          </w14:textFill>
        </w:rPr>
      </w:pPr>
      <w:r>
        <w:rPr>
          <w:rFonts w:hint="eastAsia"/>
          <w:color w:val="000000" w:themeColor="text1"/>
          <w14:textFill>
            <w14:solidFill>
              <w14:schemeClr w14:val="tx1"/>
            </w14:solidFill>
          </w14:textFill>
        </w:rPr>
        <w:t>（15）《液体石油产品静电安全规程》（GB13348-2009）；</w:t>
      </w:r>
    </w:p>
    <w:p w14:paraId="0260A4C2">
      <w:pPr>
        <w:rPr>
          <w:color w:val="000000" w:themeColor="text1"/>
          <w14:textFill>
            <w14:solidFill>
              <w14:schemeClr w14:val="tx1"/>
            </w14:solidFill>
          </w14:textFill>
        </w:rPr>
      </w:pPr>
      <w:r>
        <w:rPr>
          <w:rFonts w:hint="eastAsia"/>
          <w:color w:val="000000" w:themeColor="text1"/>
          <w14:textFill>
            <w14:solidFill>
              <w14:schemeClr w14:val="tx1"/>
            </w14:solidFill>
          </w14:textFill>
        </w:rPr>
        <w:t>（16）《消防安全标志 第1部分：标志》（GB13495.1-2015）；</w:t>
      </w:r>
    </w:p>
    <w:p w14:paraId="20F11412">
      <w:pPr>
        <w:rPr>
          <w:color w:val="000000" w:themeColor="text1"/>
          <w14:textFill>
            <w14:solidFill>
              <w14:schemeClr w14:val="tx1"/>
            </w14:solidFill>
          </w14:textFill>
        </w:rPr>
      </w:pPr>
      <w:r>
        <w:rPr>
          <w:rFonts w:hint="eastAsia"/>
          <w:color w:val="000000" w:themeColor="text1"/>
          <w14:textFill>
            <w14:solidFill>
              <w14:schemeClr w14:val="tx1"/>
            </w14:solidFill>
          </w14:textFill>
        </w:rPr>
        <w:t>（17）《生产设备安全卫生设计总则》（GB5083-1999）；</w:t>
      </w:r>
    </w:p>
    <w:p w14:paraId="10474290">
      <w:pPr>
        <w:rPr>
          <w:color w:val="000000" w:themeColor="text1"/>
          <w14:textFill>
            <w14:solidFill>
              <w14:schemeClr w14:val="tx1"/>
            </w14:solidFill>
          </w14:textFill>
        </w:rPr>
      </w:pPr>
      <w:r>
        <w:rPr>
          <w:rFonts w:hint="eastAsia"/>
          <w:color w:val="000000" w:themeColor="text1"/>
          <w14:textFill>
            <w14:solidFill>
              <w14:schemeClr w14:val="tx1"/>
            </w14:solidFill>
          </w14:textFill>
        </w:rPr>
        <w:t>（18）《生产过程安全卫生要求总则》（GB12801-2008）；</w:t>
      </w:r>
    </w:p>
    <w:p w14:paraId="1445CE74">
      <w:pPr>
        <w:rPr>
          <w:color w:val="000000" w:themeColor="text1"/>
          <w14:textFill>
            <w14:solidFill>
              <w14:schemeClr w14:val="tx1"/>
            </w14:solidFill>
          </w14:textFill>
        </w:rPr>
      </w:pPr>
      <w:r>
        <w:rPr>
          <w:rFonts w:hint="eastAsia"/>
          <w:color w:val="000000" w:themeColor="text1"/>
          <w14:textFill>
            <w14:solidFill>
              <w14:schemeClr w14:val="tx1"/>
            </w14:solidFill>
          </w14:textFill>
        </w:rPr>
        <w:t>（19）《工业企业设计卫生标准》（GBZ 1-2010）；</w:t>
      </w:r>
    </w:p>
    <w:p w14:paraId="54A48059">
      <w:pPr>
        <w:rPr>
          <w:color w:val="000000" w:themeColor="text1"/>
          <w14:textFill>
            <w14:solidFill>
              <w14:schemeClr w14:val="tx1"/>
            </w14:solidFill>
          </w14:textFill>
        </w:rPr>
      </w:pPr>
      <w:r>
        <w:rPr>
          <w:rFonts w:hint="eastAsia"/>
          <w:color w:val="000000" w:themeColor="text1"/>
          <w14:textFill>
            <w14:solidFill>
              <w14:schemeClr w14:val="tx1"/>
            </w14:solidFill>
          </w14:textFill>
        </w:rPr>
        <w:t>（20）《燃油加油站防爆安全技术 第1部分：燃油加油机防爆安全技术要求》（GB 22380.1-2017）；</w:t>
      </w:r>
    </w:p>
    <w:p w14:paraId="400C9DD9">
      <w:pPr>
        <w:rPr>
          <w:color w:val="000000" w:themeColor="text1"/>
          <w14:textFill>
            <w14:solidFill>
              <w14:schemeClr w14:val="tx1"/>
            </w14:solidFill>
          </w14:textFill>
        </w:rPr>
      </w:pPr>
      <w:r>
        <w:rPr>
          <w:rFonts w:hint="eastAsia"/>
          <w:color w:val="000000" w:themeColor="text1"/>
          <w14:textFill>
            <w14:solidFill>
              <w14:schemeClr w14:val="tx1"/>
            </w14:solidFill>
          </w14:textFill>
        </w:rPr>
        <w:t>（21）《燃油加油站防爆安全技术 第2部分：加油机用安全拉断阀结构和性能的安全要求》（GB 22380.2-2019）；</w:t>
      </w:r>
    </w:p>
    <w:p w14:paraId="500E1AF4">
      <w:pPr>
        <w:rPr>
          <w:color w:val="000000" w:themeColor="text1"/>
          <w14:textFill>
            <w14:solidFill>
              <w14:schemeClr w14:val="tx1"/>
            </w14:solidFill>
          </w14:textFill>
        </w:rPr>
      </w:pPr>
      <w:r>
        <w:rPr>
          <w:rFonts w:hint="eastAsia"/>
          <w:color w:val="000000" w:themeColor="text1"/>
          <w14:textFill>
            <w14:solidFill>
              <w14:schemeClr w14:val="tx1"/>
            </w14:solidFill>
          </w14:textFill>
        </w:rPr>
        <w:t>（22）《燃油加油站防爆安全技术 第3部分：剪切阀结构和性能的安全要求》（GB 22380.3-2019）；</w:t>
      </w:r>
    </w:p>
    <w:p w14:paraId="656ABC4E">
      <w:pPr>
        <w:rPr>
          <w:color w:val="000000" w:themeColor="text1"/>
          <w14:textFill>
            <w14:solidFill>
              <w14:schemeClr w14:val="tx1"/>
            </w14:solidFill>
          </w14:textFill>
        </w:rPr>
      </w:pPr>
      <w:r>
        <w:rPr>
          <w:rFonts w:hint="eastAsia"/>
          <w:color w:val="000000" w:themeColor="text1"/>
          <w14:textFill>
            <w14:solidFill>
              <w14:schemeClr w14:val="tx1"/>
            </w14:solidFill>
          </w14:textFill>
        </w:rPr>
        <w:t>（23）《石油与石油设施雷电安全规范》（GB15599-2009）；</w:t>
      </w:r>
    </w:p>
    <w:p w14:paraId="223C5794">
      <w:pPr>
        <w:rPr>
          <w:color w:val="000000" w:themeColor="text1"/>
          <w14:textFill>
            <w14:solidFill>
              <w14:schemeClr w14:val="tx1"/>
            </w14:solidFill>
          </w14:textFill>
        </w:rPr>
      </w:pPr>
      <w:r>
        <w:rPr>
          <w:rFonts w:hint="eastAsia"/>
          <w:color w:val="000000" w:themeColor="text1"/>
          <w14:textFill>
            <w14:solidFill>
              <w14:schemeClr w14:val="tx1"/>
            </w14:solidFill>
          </w14:textFill>
        </w:rPr>
        <w:t>（24）《职业性接触毒物危害程度分级》（</w:t>
      </w:r>
      <w:r>
        <w:rPr>
          <w:color w:val="000000" w:themeColor="text1"/>
          <w14:textFill>
            <w14:solidFill>
              <w14:schemeClr w14:val="tx1"/>
            </w14:solidFill>
          </w14:textFill>
        </w:rPr>
        <w:t>GBZ230-2010</w:t>
      </w:r>
      <w:r>
        <w:rPr>
          <w:rFonts w:hint="eastAsia"/>
          <w:color w:val="000000" w:themeColor="text1"/>
          <w14:textFill>
            <w14:solidFill>
              <w14:schemeClr w14:val="tx1"/>
            </w14:solidFill>
          </w14:textFill>
        </w:rPr>
        <w:t>）；</w:t>
      </w:r>
    </w:p>
    <w:p w14:paraId="48A62010">
      <w:pPr>
        <w:rPr>
          <w:color w:val="000000" w:themeColor="text1"/>
          <w14:textFill>
            <w14:solidFill>
              <w14:schemeClr w14:val="tx1"/>
            </w14:solidFill>
          </w14:textFill>
        </w:rPr>
      </w:pPr>
      <w:r>
        <w:rPr>
          <w:rFonts w:hint="eastAsia"/>
          <w:color w:val="000000" w:themeColor="text1"/>
          <w14:textFill>
            <w14:solidFill>
              <w14:schemeClr w14:val="tx1"/>
            </w14:solidFill>
          </w14:textFill>
        </w:rPr>
        <w:t>（25）《危险化学品企业特殊作业安全规范》（GB30871-2022）；</w:t>
      </w:r>
    </w:p>
    <w:p w14:paraId="5E81774E">
      <w:pPr>
        <w:rPr>
          <w:color w:val="000000" w:themeColor="text1"/>
          <w14:textFill>
            <w14:solidFill>
              <w14:schemeClr w14:val="tx1"/>
            </w14:solidFill>
          </w14:textFill>
        </w:rPr>
      </w:pPr>
      <w:r>
        <w:rPr>
          <w:rFonts w:hint="eastAsia"/>
          <w:color w:val="000000" w:themeColor="text1"/>
          <w14:textFill>
            <w14:solidFill>
              <w14:schemeClr w14:val="tx1"/>
            </w14:solidFill>
          </w14:textFill>
        </w:rPr>
        <w:t>（26）《生产经营单位生产安全事故应急预案编制导则》（</w:t>
      </w:r>
      <w:r>
        <w:rPr>
          <w:color w:val="000000" w:themeColor="text1"/>
          <w14:textFill>
            <w14:solidFill>
              <w14:schemeClr w14:val="tx1"/>
            </w14:solidFill>
          </w14:textFill>
        </w:rPr>
        <w:t>GB/T 29639-2020</w:t>
      </w:r>
      <w:r>
        <w:rPr>
          <w:rFonts w:hint="eastAsia"/>
          <w:color w:val="000000" w:themeColor="text1"/>
          <w14:textFill>
            <w14:solidFill>
              <w14:schemeClr w14:val="tx1"/>
            </w14:solidFill>
          </w14:textFill>
        </w:rPr>
        <w:t>）；</w:t>
      </w:r>
    </w:p>
    <w:p w14:paraId="153BF1FD">
      <w:pPr>
        <w:rPr>
          <w:color w:val="000000" w:themeColor="text1"/>
          <w14:textFill>
            <w14:solidFill>
              <w14:schemeClr w14:val="tx1"/>
            </w14:solidFill>
          </w14:textFill>
        </w:rPr>
      </w:pPr>
      <w:r>
        <w:rPr>
          <w:rFonts w:hint="eastAsia"/>
          <w:color w:val="000000" w:themeColor="text1"/>
          <w14:textFill>
            <w14:solidFill>
              <w14:schemeClr w14:val="tx1"/>
            </w14:solidFill>
          </w14:textFill>
        </w:rPr>
        <w:t>（27）《危险货物品名表》（</w:t>
      </w:r>
      <w:r>
        <w:rPr>
          <w:color w:val="000000" w:themeColor="text1"/>
          <w14:textFill>
            <w14:solidFill>
              <w14:schemeClr w14:val="tx1"/>
            </w14:solidFill>
          </w14:textFill>
        </w:rPr>
        <w:t>GB12268-2012</w:t>
      </w:r>
      <w:r>
        <w:rPr>
          <w:rFonts w:hint="eastAsia"/>
          <w:color w:val="000000" w:themeColor="text1"/>
          <w14:textFill>
            <w14:solidFill>
              <w14:schemeClr w14:val="tx1"/>
            </w14:solidFill>
          </w14:textFill>
        </w:rPr>
        <w:t>）；</w:t>
      </w:r>
    </w:p>
    <w:p w14:paraId="3EFAC46E">
      <w:pPr>
        <w:rPr>
          <w:color w:val="000000" w:themeColor="text1"/>
          <w14:textFill>
            <w14:solidFill>
              <w14:schemeClr w14:val="tx1"/>
            </w14:solidFill>
          </w14:textFill>
        </w:rPr>
      </w:pPr>
      <w:r>
        <w:rPr>
          <w:rFonts w:hint="eastAsia"/>
          <w:color w:val="000000" w:themeColor="text1"/>
          <w14:textFill>
            <w14:solidFill>
              <w14:schemeClr w14:val="tx1"/>
            </w14:solidFill>
          </w14:textFill>
        </w:rPr>
        <w:t>（28）</w:t>
      </w:r>
      <w:r>
        <w:rPr>
          <w:color w:val="000000" w:themeColor="text1"/>
          <w14:textFill>
            <w14:solidFill>
              <w14:schemeClr w14:val="tx1"/>
            </w14:solidFill>
          </w14:textFill>
        </w:rPr>
        <w:t>《用电安全导则》</w:t>
      </w:r>
      <w:r>
        <w:rPr>
          <w:rFonts w:hint="eastAsia"/>
          <w:color w:val="000000" w:themeColor="text1"/>
          <w14:textFill>
            <w14:solidFill>
              <w14:schemeClr w14:val="tx1"/>
            </w14:solidFill>
          </w14:textFill>
        </w:rPr>
        <w:t>（GB/T13869-20</w:t>
      </w:r>
      <w:r>
        <w:rPr>
          <w:color w:val="000000" w:themeColor="text1"/>
          <w14:textFill>
            <w14:solidFill>
              <w14:schemeClr w14:val="tx1"/>
            </w14:solidFill>
          </w14:textFill>
        </w:rPr>
        <w:t>17</w:t>
      </w:r>
      <w:r>
        <w:rPr>
          <w:rFonts w:hint="eastAsia"/>
          <w:color w:val="000000" w:themeColor="text1"/>
          <w14:textFill>
            <w14:solidFill>
              <w14:schemeClr w14:val="tx1"/>
            </w14:solidFill>
          </w14:textFill>
        </w:rPr>
        <w:t>）；</w:t>
      </w:r>
    </w:p>
    <w:p w14:paraId="3B0AE8AA">
      <w:pPr>
        <w:rPr>
          <w:color w:val="000000" w:themeColor="text1"/>
          <w14:textFill>
            <w14:solidFill>
              <w14:schemeClr w14:val="tx1"/>
            </w14:solidFill>
          </w14:textFill>
        </w:rPr>
      </w:pPr>
      <w:r>
        <w:rPr>
          <w:rFonts w:hint="eastAsia"/>
          <w:color w:val="000000" w:themeColor="text1"/>
          <w14:textFill>
            <w14:solidFill>
              <w14:schemeClr w14:val="tx1"/>
            </w14:solidFill>
          </w14:textFill>
        </w:rPr>
        <w:t>（29）《消防安全标志设置要求》（GB15630-1995）；</w:t>
      </w:r>
    </w:p>
    <w:p w14:paraId="52442E3A">
      <w:pPr>
        <w:rPr>
          <w:color w:val="000000" w:themeColor="text1"/>
          <w14:textFill>
            <w14:solidFill>
              <w14:schemeClr w14:val="tx1"/>
            </w14:solidFill>
          </w14:textFill>
        </w:rPr>
      </w:pPr>
      <w:r>
        <w:rPr>
          <w:rFonts w:hint="eastAsia"/>
          <w:color w:val="000000" w:themeColor="text1"/>
          <w14:textFill>
            <w14:solidFill>
              <w14:schemeClr w14:val="tx1"/>
            </w14:solidFill>
          </w14:textFill>
        </w:rPr>
        <w:t>（30）《危险化学品单位应急救援物资配备要求》（</w:t>
      </w:r>
      <w:r>
        <w:rPr>
          <w:rFonts w:hint="eastAsia"/>
          <w:color w:val="000000" w:themeColor="text1"/>
          <w:lang w:eastAsia="zh-CN"/>
          <w14:textFill>
            <w14:solidFill>
              <w14:schemeClr w14:val="tx1"/>
            </w14:solidFill>
          </w14:textFill>
        </w:rPr>
        <w:t>GB 30077-2023</w:t>
      </w:r>
      <w:r>
        <w:rPr>
          <w:rFonts w:hint="eastAsia"/>
          <w:color w:val="000000" w:themeColor="text1"/>
          <w14:textFill>
            <w14:solidFill>
              <w14:schemeClr w14:val="tx1"/>
            </w14:solidFill>
          </w14:textFill>
        </w:rPr>
        <w:t>）；</w:t>
      </w:r>
    </w:p>
    <w:p w14:paraId="64E99AE4">
      <w:pPr>
        <w:rPr>
          <w:color w:val="000000" w:themeColor="text1"/>
          <w14:textFill>
            <w14:solidFill>
              <w14:schemeClr w14:val="tx1"/>
            </w14:solidFill>
          </w14:textFill>
        </w:rPr>
      </w:pPr>
      <w:r>
        <w:rPr>
          <w:rFonts w:hint="eastAsia"/>
          <w:color w:val="000000" w:themeColor="text1"/>
          <w14:textFill>
            <w14:solidFill>
              <w14:schemeClr w14:val="tx1"/>
            </w14:solidFill>
          </w14:textFill>
        </w:rPr>
        <w:t>（31）《车用汽油》（GB</w:t>
      </w:r>
      <w:r>
        <w:rPr>
          <w:color w:val="000000" w:themeColor="text1"/>
          <w14:textFill>
            <w14:solidFill>
              <w14:schemeClr w14:val="tx1"/>
            </w14:solidFill>
          </w14:textFill>
        </w:rPr>
        <w:t>17930</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14:paraId="3DC19EEA">
      <w:pPr>
        <w:rPr>
          <w:color w:val="000000" w:themeColor="text1"/>
          <w14:textFill>
            <w14:solidFill>
              <w14:schemeClr w14:val="tx1"/>
            </w14:solidFill>
          </w14:textFill>
        </w:rPr>
      </w:pPr>
      <w:r>
        <w:rPr>
          <w:rFonts w:hint="eastAsia"/>
          <w:color w:val="000000" w:themeColor="text1"/>
          <w14:textFill>
            <w14:solidFill>
              <w14:schemeClr w14:val="tx1"/>
            </w14:solidFill>
          </w14:textFill>
        </w:rPr>
        <w:t>（32）《车用柴油》（GB</w:t>
      </w:r>
      <w:r>
        <w:rPr>
          <w:color w:val="000000" w:themeColor="text1"/>
          <w14:textFill>
            <w14:solidFill>
              <w14:schemeClr w14:val="tx1"/>
            </w14:solidFill>
          </w14:textFill>
        </w:rPr>
        <w:t>19147</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14:paraId="06524D82">
      <w:pPr>
        <w:rPr>
          <w:color w:val="000000" w:themeColor="text1"/>
          <w14:textFill>
            <w14:solidFill>
              <w14:schemeClr w14:val="tx1"/>
            </w14:solidFill>
          </w14:textFill>
        </w:rPr>
      </w:pPr>
      <w:r>
        <w:rPr>
          <w:rFonts w:hint="eastAsia"/>
          <w:color w:val="000000" w:themeColor="text1"/>
          <w14:textFill>
            <w14:solidFill>
              <w14:schemeClr w14:val="tx1"/>
            </w14:solidFill>
          </w14:textFill>
        </w:rPr>
        <w:t>（33）《</w:t>
      </w:r>
      <w:r>
        <w:rPr>
          <w:color w:val="000000" w:themeColor="text1"/>
          <w14:textFill>
            <w14:solidFill>
              <w14:schemeClr w14:val="tx1"/>
            </w14:solidFill>
          </w14:textFill>
        </w:rPr>
        <w:t>建筑防火通用规范</w:t>
      </w:r>
      <w:r>
        <w:rPr>
          <w:rFonts w:hint="eastAsia"/>
          <w:color w:val="000000" w:themeColor="text1"/>
          <w14:textFill>
            <w14:solidFill>
              <w14:schemeClr w14:val="tx1"/>
            </w14:solidFill>
          </w14:textFill>
        </w:rPr>
        <w:t>》（GB55037-2022）。</w:t>
      </w:r>
    </w:p>
    <w:p w14:paraId="463AFAF5">
      <w:pPr>
        <w:pStyle w:val="4"/>
        <w:ind w:firstLine="562"/>
        <w:rPr>
          <w:color w:val="000000" w:themeColor="text1"/>
          <w14:textFill>
            <w14:solidFill>
              <w14:schemeClr w14:val="tx1"/>
            </w14:solidFill>
          </w14:textFill>
        </w:rPr>
      </w:pPr>
      <w:bookmarkStart w:id="60" w:name="_Toc4185"/>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标准</w:t>
      </w:r>
      <w:bookmarkEnd w:id="60"/>
    </w:p>
    <w:p w14:paraId="7AC96A4D">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）《安全评价通则》（AQ8001-2007）</w:t>
      </w:r>
      <w:r>
        <w:rPr>
          <w:rFonts w:hint="eastAsia" w:ascii="新宋体" w:hAnsi="新宋体" w:eastAsia="新宋体"/>
          <w:color w:val="000000" w:themeColor="text1"/>
          <w:lang w:eastAsia="zh-CN"/>
          <w14:textFill>
            <w14:solidFill>
              <w14:schemeClr w14:val="tx1"/>
            </w14:solidFill>
          </w14:textFill>
        </w:rPr>
        <w:t>；</w:t>
      </w:r>
    </w:p>
    <w:p w14:paraId="04B3EFD0">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）《加油站作业安全规范》（AQ3010-20</w:t>
      </w:r>
      <w:r>
        <w:rPr>
          <w:rFonts w:ascii="新宋体" w:hAnsi="新宋体" w:eastAsia="新宋体"/>
          <w:color w:val="000000" w:themeColor="text1"/>
          <w14:textFill>
            <w14:solidFill>
              <w14:schemeClr w14:val="tx1"/>
            </w14:solidFill>
          </w14:textFill>
        </w:rPr>
        <w:t>22</w:t>
      </w: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eastAsia="zh-CN"/>
          <w14:textFill>
            <w14:solidFill>
              <w14:schemeClr w14:val="tx1"/>
            </w14:solidFill>
          </w14:textFill>
        </w:rPr>
        <w:t>；</w:t>
      </w:r>
    </w:p>
    <w:p w14:paraId="051E9C43">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3</w:t>
      </w: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14:textFill>
            <w14:solidFill>
              <w14:schemeClr w14:val="tx1"/>
            </w14:solidFill>
          </w14:textFill>
        </w:rPr>
        <w:t>《危险场所电气防爆安全规范》（AQ3009-2007）</w:t>
      </w:r>
      <w:r>
        <w:rPr>
          <w:rFonts w:hint="eastAsia" w:ascii="新宋体" w:hAnsi="新宋体" w:eastAsia="新宋体"/>
          <w:color w:val="000000" w:themeColor="text1"/>
          <w:lang w:eastAsia="zh-CN"/>
          <w14:textFill>
            <w14:solidFill>
              <w14:schemeClr w14:val="tx1"/>
            </w14:solidFill>
          </w14:textFill>
        </w:rPr>
        <w:t>；</w:t>
      </w:r>
    </w:p>
    <w:p w14:paraId="10AE08A0">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）《危险化学品储罐区作业安全通则》（AQ3018-2008）；</w:t>
      </w:r>
    </w:p>
    <w:p w14:paraId="18940BF0">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）《化学品作业场所安全警示标志规范》（</w:t>
      </w:r>
      <w:r>
        <w:rPr>
          <w:rFonts w:ascii="新宋体" w:hAnsi="新宋体" w:eastAsia="新宋体"/>
          <w:color w:val="000000" w:themeColor="text1"/>
          <w14:textFill>
            <w14:solidFill>
              <w14:schemeClr w14:val="tx1"/>
            </w14:solidFill>
          </w14:textFill>
        </w:rPr>
        <w:t>AQ3047-2013</w:t>
      </w:r>
      <w:r>
        <w:rPr>
          <w:rFonts w:hint="eastAsia" w:ascii="新宋体" w:hAnsi="新宋体" w:eastAsia="新宋体"/>
          <w:color w:val="000000" w:themeColor="text1"/>
          <w14:textFill>
            <w14:solidFill>
              <w14:schemeClr w14:val="tx1"/>
            </w14:solidFill>
          </w14:textFill>
        </w:rPr>
        <w:t>）。</w:t>
      </w:r>
    </w:p>
    <w:p w14:paraId="695B7AA7">
      <w:pPr>
        <w:pStyle w:val="4"/>
        <w:ind w:firstLine="562"/>
        <w:rPr>
          <w:color w:val="000000" w:themeColor="text1"/>
          <w14:textFill>
            <w14:solidFill>
              <w14:schemeClr w14:val="tx1"/>
            </w14:solidFill>
          </w14:textFill>
        </w:rPr>
      </w:pPr>
      <w:bookmarkStart w:id="61" w:name="_Toc4591"/>
      <w:r>
        <w:rPr>
          <w:rFonts w:hint="eastAsia"/>
          <w:color w:val="000000" w:themeColor="text1"/>
          <w14:textFill>
            <w14:solidFill>
              <w14:schemeClr w14:val="tx1"/>
            </w14:solidFill>
          </w14:textFill>
        </w:rPr>
        <w:t>行业</w:t>
      </w:r>
      <w:r>
        <w:rPr>
          <w:color w:val="000000" w:themeColor="text1"/>
          <w14:textFill>
            <w14:solidFill>
              <w14:schemeClr w14:val="tx1"/>
            </w14:solidFill>
          </w14:textFill>
        </w:rPr>
        <w:t>标准</w:t>
      </w:r>
      <w:bookmarkEnd w:id="61"/>
    </w:p>
    <w:p w14:paraId="56F7EB06">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（1）《化工企业安全卫生设计规范》（HG20571-2014）；</w:t>
      </w:r>
    </w:p>
    <w:p w14:paraId="48990297">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（2）《石油化工静电接地设计规范》（S</w:t>
      </w:r>
      <w:r>
        <w:rPr>
          <w:rFonts w:ascii="新宋体" w:hAnsi="新宋体" w:eastAsia="新宋体"/>
          <w:color w:val="000000" w:themeColor="text1"/>
          <w14:textFill>
            <w14:solidFill>
              <w14:schemeClr w14:val="tx1"/>
            </w14:solidFill>
          </w14:textFill>
        </w:rPr>
        <w:t>H/T3097-2017</w:t>
      </w:r>
      <w:r>
        <w:rPr>
          <w:rFonts w:hint="eastAsia" w:ascii="新宋体" w:hAnsi="新宋体" w:eastAsia="新宋体"/>
          <w:color w:val="000000" w:themeColor="text1"/>
          <w14:textFill>
            <w14:solidFill>
              <w14:schemeClr w14:val="tx1"/>
            </w14:solidFill>
          </w14:textFill>
        </w:rPr>
        <w:t>）；</w:t>
      </w:r>
    </w:p>
    <w:p w14:paraId="2E408B64">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（3）《汽车加油加气站消防安全管理》（XF/T3004-2020）；</w:t>
      </w:r>
    </w:p>
    <w:p w14:paraId="4D6B7A66">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（4）《石油化工设备和管道涂料防腐蚀设计标准》（</w:t>
      </w:r>
      <w:r>
        <w:rPr>
          <w:rFonts w:ascii="新宋体" w:hAnsi="新宋体" w:eastAsia="新宋体"/>
          <w:color w:val="000000" w:themeColor="text1"/>
          <w14:textFill>
            <w14:solidFill>
              <w14:schemeClr w14:val="tx1"/>
            </w14:solidFill>
          </w14:textFill>
        </w:rPr>
        <w:t>SH/T3022-2019</w:t>
      </w:r>
      <w:r>
        <w:rPr>
          <w:rFonts w:hint="eastAsia" w:ascii="新宋体" w:hAnsi="新宋体" w:eastAsia="新宋体"/>
          <w:color w:val="000000" w:themeColor="text1"/>
          <w14:textFill>
            <w14:solidFill>
              <w14:schemeClr w14:val="tx1"/>
            </w14:solidFill>
          </w14:textFill>
        </w:rPr>
        <w:t>）；</w:t>
      </w:r>
    </w:p>
    <w:p w14:paraId="2775E10A">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（5）《石油化工有毒、可燃介质钢制管道工程施工及验收规范》（SH/T 3501-2021）；</w:t>
      </w:r>
    </w:p>
    <w:p w14:paraId="2508877D">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）《加油站用埋地钢</w:t>
      </w:r>
      <w:r>
        <w:rPr>
          <w:rFonts w:ascii="新宋体" w:hAnsi="新宋体" w:eastAsia="新宋体"/>
          <w:color w:val="000000" w:themeColor="text1"/>
          <w14:textFill>
            <w14:solidFill>
              <w14:schemeClr w14:val="tx1"/>
            </w14:solidFill>
          </w14:textFill>
        </w:rPr>
        <w:t>-玻璃纤维增强塑料双层油罐工程技术规范</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SH/T 3178-2015</w:t>
      </w:r>
      <w:r>
        <w:rPr>
          <w:rFonts w:hint="eastAsia" w:ascii="新宋体" w:hAnsi="新宋体" w:eastAsia="新宋体"/>
          <w:color w:val="000000" w:themeColor="text1"/>
          <w14:textFill>
            <w14:solidFill>
              <w14:schemeClr w14:val="tx1"/>
            </w14:solidFill>
          </w14:textFill>
        </w:rPr>
        <w:t>）。</w:t>
      </w:r>
    </w:p>
    <w:p w14:paraId="45F26028">
      <w:pPr>
        <w:pStyle w:val="3"/>
        <w:rPr>
          <w:color w:val="000000" w:themeColor="text1"/>
          <w14:textFill>
            <w14:solidFill>
              <w14:schemeClr w14:val="tx1"/>
            </w14:solidFill>
          </w14:textFill>
        </w:rPr>
      </w:pPr>
      <w:bookmarkStart w:id="62" w:name="_Toc2029"/>
      <w:r>
        <w:rPr>
          <w:rFonts w:hint="eastAsia"/>
          <w:color w:val="000000" w:themeColor="text1"/>
          <w14:textFill>
            <w14:solidFill>
              <w14:schemeClr w14:val="tx1"/>
            </w14:solidFill>
          </w14:textFill>
        </w:rPr>
        <w:t>工作经过和程序</w:t>
      </w:r>
      <w:bookmarkEnd w:id="38"/>
      <w:bookmarkEnd w:id="39"/>
      <w:bookmarkEnd w:id="62"/>
    </w:p>
    <w:p w14:paraId="636ED8FC">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本次安全现状评价大体分为三个阶段。</w:t>
      </w:r>
    </w:p>
    <w:p w14:paraId="155A0543">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第一阶段为准备阶段，主要收集有关资料，进行初步的危险、危害因素识别，选择评价方法，编制评价大纲；</w:t>
      </w:r>
    </w:p>
    <w:p w14:paraId="70DB3995">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第二阶段为实施评价阶段，对工程安全情况进行类比调查，运用合适的评价方法进行定性及定量分析，提出安全对策措施；</w:t>
      </w:r>
    </w:p>
    <w:p w14:paraId="51AA0A6F">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第三阶段为报告书的编制阶段，主要是汇总评价实施阶段所得到的各种资料、数据，综合分析提出结论与建议，完成项目安全现状评价报告的编制。</w:t>
      </w:r>
    </w:p>
    <w:p w14:paraId="03F28120">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按照《安全评价通则》（AQ8001-2007）的要求，安全评价程序包括前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14:paraId="4DEEB5CB">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本次安全评价工作程序见图1-1。</w:t>
      </w:r>
    </w:p>
    <w:p w14:paraId="5657C838">
      <w:pPr>
        <w:pStyle w:val="6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000000" w:themeColor="text1"/>
          <w14:textFill>
            <w14:solidFill>
              <w14:schemeClr w14:val="tx1"/>
            </w14:solidFill>
          </w14:textFill>
        </w:rPr>
      </w:pPr>
      <w:r>
        <w:rPr>
          <w:color w:val="000000" w:themeColor="text1"/>
          <w14:textFill>
            <w14:solidFill>
              <w14:schemeClr w14:val="tx1"/>
            </w14:solidFill>
          </w14:textFill>
        </w:rPr>
        <w:object>
          <v:shape id="_x0000_i1025" o:spt="75" type="#_x0000_t75" style="height:389.3pt;width:230.25pt;" o:ole="t" filled="f" o:preferrelative="t" stroked="f" coordsize="21600,21600">
            <v:path/>
            <v:fill on="f" focussize="0,0"/>
            <v:stroke on="f"/>
            <v:imagedata r:id="rId39" o:title=""/>
            <o:lock v:ext="edit" aspectratio="t"/>
            <w10:wrap type="none"/>
            <w10:anchorlock/>
          </v:shape>
          <o:OLEObject Type="Embed" ProgID="Visio.Drawing.15" ShapeID="_x0000_i1025" DrawAspect="Content" ObjectID="_1468075725" r:id="rId38">
            <o:LockedField>false</o:LockedField>
          </o:OLEObject>
        </w:object>
      </w:r>
    </w:p>
    <w:p w14:paraId="2A523B9E">
      <w:pPr>
        <w:pStyle w:val="65"/>
        <w:ind w:firstLine="562"/>
        <w:rPr>
          <w:color w:val="000000" w:themeColor="text1"/>
          <w14:textFill>
            <w14:solidFill>
              <w14:schemeClr w14:val="tx1"/>
            </w14:solidFill>
          </w14:textFill>
        </w:rPr>
      </w:pPr>
      <w:r>
        <w:rPr>
          <w:color w:val="000000" w:themeColor="text1"/>
          <w14:textFill>
            <w14:solidFill>
              <w14:schemeClr w14:val="tx1"/>
            </w14:solidFill>
          </w14:textFill>
        </w:rPr>
        <w:t>图1-1  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评价工作程序</w:t>
      </w:r>
    </w:p>
    <w:p w14:paraId="248006BF">
      <w:pPr>
        <w:pStyle w:val="3"/>
        <w:rPr>
          <w:color w:val="000000" w:themeColor="text1"/>
          <w14:textFill>
            <w14:solidFill>
              <w14:schemeClr w14:val="tx1"/>
            </w14:solidFill>
          </w14:textFill>
        </w:rPr>
      </w:pPr>
      <w:bookmarkStart w:id="63" w:name="_Toc258574825"/>
      <w:bookmarkStart w:id="64" w:name="_Toc355"/>
      <w:r>
        <w:rPr>
          <w:rFonts w:hint="eastAsia"/>
          <w:color w:val="000000" w:themeColor="text1"/>
          <w14:textFill>
            <w14:solidFill>
              <w14:schemeClr w14:val="tx1"/>
            </w14:solidFill>
          </w14:textFill>
        </w:rPr>
        <w:t>评价基准日</w:t>
      </w:r>
      <w:bookmarkEnd w:id="63"/>
      <w:bookmarkEnd w:id="64"/>
    </w:p>
    <w:p w14:paraId="555D455C">
      <w:pPr>
        <w:pStyle w:val="45"/>
        <w:keepNext w:val="0"/>
        <w:keepLines w:val="0"/>
        <w:pageBreakBefore w:val="0"/>
        <w:widowControl w:val="0"/>
        <w:kinsoku/>
        <w:wordWrap/>
        <w:overflowPunct/>
        <w:topLinePunct w:val="0"/>
        <w:autoSpaceDE/>
        <w:autoSpaceDN/>
        <w:bidi w:val="0"/>
        <w:adjustRightInd/>
        <w:snapToGrid w:val="0"/>
        <w:ind w:firstLine="560"/>
        <w:textAlignment w:val="auto"/>
        <w:rPr>
          <w:color w:val="000000" w:themeColor="text1"/>
          <w14:textFill>
            <w14:solidFill>
              <w14:schemeClr w14:val="tx1"/>
            </w14:solidFill>
          </w14:textFill>
        </w:rPr>
        <w:sectPr>
          <w:footerReference r:id="rId12" w:type="default"/>
          <w:pgSz w:w="11905" w:h="16838"/>
          <w:pgMar w:top="1304" w:right="1361" w:bottom="1304" w:left="1361" w:header="850" w:footer="850" w:gutter="0"/>
          <w:pgNumType w:start="1"/>
          <w:cols w:space="0" w:num="1"/>
          <w:rtlGutter w:val="0"/>
          <w:docGrid w:type="linesAndChars" w:linePitch="386" w:charSpace="0"/>
        </w:sectPr>
      </w:pPr>
      <w:r>
        <w:rPr>
          <w:rFonts w:hint="eastAsia"/>
          <w:color w:val="000000" w:themeColor="text1"/>
          <w14:textFill>
            <w14:solidFill>
              <w14:schemeClr w14:val="tx1"/>
            </w14:solidFill>
          </w14:textFill>
        </w:rPr>
        <w:t>本项目的评价人员于2024年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21</w:t>
      </w:r>
      <w:r>
        <w:rPr>
          <w:rFonts w:hint="eastAsia"/>
          <w:color w:val="000000" w:themeColor="text1"/>
          <w14:textFill>
            <w14:solidFill>
              <w14:schemeClr w14:val="tx1"/>
            </w14:solidFill>
          </w14:textFill>
        </w:rPr>
        <w:t>日到现场对该项目进行检查，</w:t>
      </w:r>
      <w:r>
        <w:rPr>
          <w:rFonts w:hint="eastAsia"/>
          <w:highlight w:val="none"/>
        </w:rPr>
        <w:t>加油站于202</w:t>
      </w:r>
      <w:r>
        <w:rPr>
          <w:rFonts w:hint="eastAsia"/>
          <w:highlight w:val="none"/>
          <w:lang w:val="en-US" w:eastAsia="zh-CN"/>
        </w:rPr>
        <w:t>4</w:t>
      </w:r>
      <w:r>
        <w:rPr>
          <w:rFonts w:hint="eastAsia"/>
          <w:highlight w:val="none"/>
        </w:rPr>
        <w:t>年</w:t>
      </w:r>
      <w:r>
        <w:rPr>
          <w:rFonts w:hint="eastAsia"/>
          <w:highlight w:val="none"/>
          <w:lang w:val="en-US" w:eastAsia="zh-CN"/>
        </w:rPr>
        <w:t>10</w:t>
      </w:r>
      <w:r>
        <w:rPr>
          <w:rFonts w:hint="eastAsia"/>
          <w:highlight w:val="none"/>
        </w:rPr>
        <w:t>月</w:t>
      </w:r>
      <w:r>
        <w:rPr>
          <w:rFonts w:hint="eastAsia"/>
          <w:highlight w:val="none"/>
          <w:lang w:val="en-US" w:eastAsia="zh-CN"/>
        </w:rPr>
        <w:t>10</w:t>
      </w:r>
      <w:r>
        <w:rPr>
          <w:rFonts w:hint="eastAsia"/>
          <w:highlight w:val="none"/>
        </w:rPr>
        <w:t>日</w:t>
      </w:r>
      <w:r>
        <w:rPr>
          <w:rFonts w:hint="eastAsia"/>
          <w:highlight w:val="none"/>
          <w:lang w:eastAsia="zh-CN"/>
        </w:rPr>
        <w:t>提供资料齐全，</w:t>
      </w:r>
      <w:r>
        <w:rPr>
          <w:rFonts w:hint="eastAsia"/>
          <w:color w:val="000000" w:themeColor="text1"/>
          <w14:textFill>
            <w14:solidFill>
              <w14:schemeClr w14:val="tx1"/>
            </w14:solidFill>
          </w14:textFill>
        </w:rPr>
        <w:t>评价基准日为：2024年</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日。</w:t>
      </w:r>
    </w:p>
    <w:p w14:paraId="6168F0F7">
      <w:pPr>
        <w:pStyle w:val="2"/>
        <w:spacing w:before="193" w:after="193"/>
        <w:rPr>
          <w:color w:val="000000" w:themeColor="text1"/>
          <w14:textFill>
            <w14:solidFill>
              <w14:schemeClr w14:val="tx1"/>
            </w14:solidFill>
          </w14:textFill>
        </w:rPr>
      </w:pPr>
      <w:bookmarkStart w:id="65" w:name="_Toc25055"/>
      <w:bookmarkStart w:id="66" w:name="_Toc24474"/>
      <w:r>
        <w:rPr>
          <w:rFonts w:hint="eastAsia"/>
          <w:color w:val="000000" w:themeColor="text1"/>
          <w14:textFill>
            <w14:solidFill>
              <w14:schemeClr w14:val="tx1"/>
            </w14:solidFill>
          </w14:textFill>
        </w:rPr>
        <w:t>加油站概况</w:t>
      </w:r>
      <w:bookmarkEnd w:id="65"/>
      <w:bookmarkEnd w:id="66"/>
    </w:p>
    <w:p w14:paraId="195788AE">
      <w:pPr>
        <w:pStyle w:val="3"/>
        <w:rPr>
          <w:color w:val="000000" w:themeColor="text1"/>
          <w14:textFill>
            <w14:solidFill>
              <w14:schemeClr w14:val="tx1"/>
            </w14:solidFill>
          </w14:textFill>
        </w:rPr>
      </w:pPr>
      <w:bookmarkStart w:id="67" w:name="_Toc3676"/>
      <w:bookmarkStart w:id="68" w:name="_Toc6882"/>
      <w:r>
        <w:rPr>
          <w:rFonts w:hint="eastAsia"/>
          <w:color w:val="000000" w:themeColor="text1"/>
          <w14:textFill>
            <w14:solidFill>
              <w14:schemeClr w14:val="tx1"/>
            </w14:solidFill>
          </w14:textFill>
        </w:rPr>
        <w:t>加油站基本概况</w:t>
      </w:r>
      <w:r>
        <w:rPr>
          <w:color w:val="000000" w:themeColor="text1"/>
          <w14:textFill>
            <w14:solidFill>
              <w14:schemeClr w14:val="tx1"/>
            </w14:solidFill>
          </w14:textFill>
        </w:rPr>
        <w:t>简介</w:t>
      </w:r>
      <w:bookmarkEnd w:id="67"/>
      <w:bookmarkEnd w:id="68"/>
    </w:p>
    <w:p w14:paraId="462EDD0E">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szCs w:val="28"/>
          <w:lang w:val="en-US" w:eastAsia="zh-CN"/>
          <w14:textFill>
            <w14:solidFill>
              <w14:schemeClr w14:val="tx1"/>
            </w14:solidFill>
          </w14:textFill>
        </w:rPr>
      </w:pPr>
      <w:bookmarkStart w:id="69" w:name="_Toc275268707"/>
      <w:r>
        <w:rPr>
          <w:rFonts w:hint="eastAsia"/>
          <w:color w:val="000000" w:themeColor="text1"/>
          <w:szCs w:val="28"/>
          <w:lang w:val="en-US" w:eastAsia="zh-CN"/>
          <w14:textFill>
            <w14:solidFill>
              <w14:schemeClr w14:val="tx1"/>
            </w14:solidFill>
          </w14:textFill>
        </w:rPr>
        <w:t>加油站原名称为文山市古木星运加油站，</w:t>
      </w:r>
      <w:r>
        <w:rPr>
          <w:rFonts w:hint="eastAsia"/>
          <w:color w:val="000000" w:themeColor="text1"/>
          <w:szCs w:val="28"/>
          <w14:textFill>
            <w14:solidFill>
              <w14:schemeClr w14:val="tx1"/>
            </w14:solidFill>
          </w14:textFill>
        </w:rPr>
        <w:t>成立于20</w:t>
      </w:r>
      <w:r>
        <w:rPr>
          <w:rFonts w:hint="eastAsia"/>
          <w:color w:val="000000" w:themeColor="text1"/>
          <w:szCs w:val="28"/>
          <w:lang w:val="en-US" w:eastAsia="zh-CN"/>
          <w14:textFill>
            <w14:solidFill>
              <w14:schemeClr w14:val="tx1"/>
            </w14:solidFill>
          </w14:textFill>
        </w:rPr>
        <w:t>13</w:t>
      </w:r>
      <w:r>
        <w:rPr>
          <w:rFonts w:hint="eastAsia"/>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04</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26</w:t>
      </w:r>
      <w:r>
        <w:rPr>
          <w:rFonts w:hint="eastAsia"/>
          <w:color w:val="000000" w:themeColor="text1"/>
          <w:szCs w:val="28"/>
          <w14:textFill>
            <w14:solidFill>
              <w14:schemeClr w14:val="tx1"/>
            </w14:solidFill>
          </w14:textFill>
        </w:rPr>
        <w:t>日，</w:t>
      </w:r>
      <w:r>
        <w:rPr>
          <w:rFonts w:hint="eastAsia"/>
          <w:color w:val="000000" w:themeColor="text1"/>
          <w:szCs w:val="28"/>
          <w:lang w:val="en-US" w:eastAsia="zh-CN"/>
          <w14:textFill>
            <w14:solidFill>
              <w14:schemeClr w14:val="tx1"/>
            </w14:solidFill>
          </w14:textFill>
        </w:rPr>
        <w:t>加油站于2023年09月20日更名为</w:t>
      </w:r>
      <w:r>
        <w:rPr>
          <w:rFonts w:hint="eastAsia"/>
          <w:color w:val="000000" w:themeColor="text1"/>
          <w:szCs w:val="28"/>
          <w:lang w:eastAsia="zh-CN"/>
          <w14:textFill>
            <w14:solidFill>
              <w14:schemeClr w14:val="tx1"/>
            </w14:solidFill>
          </w14:textFill>
        </w:rPr>
        <w:t>文山市星运能源有限公司。</w:t>
      </w: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云南省文山壮族苗族自治州文山市古木镇南街文马公路旁</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法定代表人</w:t>
      </w:r>
      <w:r>
        <w:rPr>
          <w:rFonts w:hint="eastAsia"/>
          <w:color w:val="000000" w:themeColor="text1"/>
          <w:szCs w:val="28"/>
          <w14:textFill>
            <w14:solidFill>
              <w14:schemeClr w14:val="tx1"/>
            </w14:solidFill>
          </w14:textFill>
        </w:rPr>
        <w:t>为</w:t>
      </w:r>
      <w:r>
        <w:rPr>
          <w:rFonts w:hint="eastAsia"/>
          <w:color w:val="000000" w:themeColor="text1"/>
          <w:szCs w:val="28"/>
          <w14:textFill>
            <w14:solidFill>
              <w14:schemeClr w14:val="tx1"/>
            </w14:solidFill>
          </w14:textFill>
        </w:rPr>
        <w:fldChar w:fldCharType="begin"/>
      </w:r>
      <w:r>
        <w:rPr>
          <w:rFonts w:hint="eastAsia"/>
          <w:color w:val="000000" w:themeColor="text1"/>
          <w:szCs w:val="28"/>
          <w14:textFill>
            <w14:solidFill>
              <w14:schemeClr w14:val="tx1"/>
            </w14:solidFill>
          </w14:textFill>
        </w:rPr>
        <w:instrText xml:space="preserve"> HYPERLINK "https://aiqicha.baidu.com/person?personId=dfc4daeacc7f03078464a0d26c08e774" \t "_blank" </w:instrText>
      </w:r>
      <w:r>
        <w:rPr>
          <w:rFonts w:hint="eastAsia"/>
          <w:color w:val="000000" w:themeColor="text1"/>
          <w:szCs w:val="28"/>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庞瑞体</w:t>
      </w:r>
      <w:r>
        <w:rPr>
          <w:rFonts w:hint="eastAsia"/>
          <w:color w:val="000000" w:themeColor="text1"/>
          <w:szCs w:val="28"/>
          <w14:textFill>
            <w14:solidFill>
              <w14:schemeClr w14:val="tx1"/>
            </w14:solidFill>
          </w14:textFill>
        </w:rPr>
        <w:fldChar w:fldCharType="end"/>
      </w:r>
      <w:r>
        <w:rPr>
          <w:rFonts w:hint="eastAsia"/>
          <w:color w:val="000000" w:themeColor="text1"/>
          <w:szCs w:val="28"/>
          <w14:textFill>
            <w14:solidFill>
              <w14:schemeClr w14:val="tx1"/>
            </w14:solidFill>
          </w14:textFill>
        </w:rPr>
        <w:t>，主要经营</w:t>
      </w:r>
      <w:r>
        <w:rPr>
          <w:rFonts w:hint="eastAsia"/>
          <w:color w:val="000000" w:themeColor="text1"/>
          <w:szCs w:val="28"/>
          <w:lang w:val="en-US" w:eastAsia="zh-CN"/>
          <w14:textFill>
            <w14:solidFill>
              <w14:schemeClr w14:val="tx1"/>
            </w14:solidFill>
          </w14:textFill>
        </w:rPr>
        <w:t>范围为：许可项目：成品油零售；一般项目：润滑油销售。</w:t>
      </w:r>
      <w:r>
        <w:rPr>
          <w:rFonts w:hint="eastAsia"/>
          <w:color w:val="000000" w:themeColor="text1"/>
          <w:szCs w:val="28"/>
          <w14:textFill>
            <w14:solidFill>
              <w14:schemeClr w14:val="tx1"/>
            </w14:solidFill>
          </w14:textFill>
        </w:rPr>
        <w:t>加油站《危险化学品经营许可证》登记编号为：云文</w:t>
      </w:r>
      <w:r>
        <w:rPr>
          <w:rFonts w:hint="eastAsia"/>
          <w:color w:val="000000" w:themeColor="text1"/>
          <w:szCs w:val="28"/>
          <w:lang w:val="en-US" w:eastAsia="zh-CN"/>
          <w14:textFill>
            <w14:solidFill>
              <w14:schemeClr w14:val="tx1"/>
            </w14:solidFill>
          </w14:textFill>
        </w:rPr>
        <w:t>文</w:t>
      </w:r>
      <w:r>
        <w:rPr>
          <w:rFonts w:hint="eastAsia"/>
          <w:color w:val="000000" w:themeColor="text1"/>
          <w:szCs w:val="28"/>
          <w14:textFill>
            <w14:solidFill>
              <w14:schemeClr w14:val="tx1"/>
            </w14:solidFill>
          </w14:textFill>
        </w:rPr>
        <w:t>危化经字</w:t>
      </w:r>
      <w:r>
        <w:rPr>
          <w:rFonts w:hint="eastAsia"/>
          <w:color w:val="000000" w:themeColor="text1"/>
          <w:szCs w:val="28"/>
          <w:lang w:val="en-US" w:eastAsia="zh-CN"/>
          <w14:textFill>
            <w14:solidFill>
              <w14:schemeClr w14:val="tx1"/>
            </w14:solidFill>
          </w14:textFill>
        </w:rPr>
        <w:t>【</w:t>
      </w:r>
      <w:r>
        <w:rPr>
          <w:rFonts w:hint="eastAsia"/>
          <w:color w:val="000000" w:themeColor="text1"/>
          <w:szCs w:val="28"/>
          <w14:textFill>
            <w14:solidFill>
              <w14:schemeClr w14:val="tx1"/>
            </w14:solidFill>
          </w14:textFill>
        </w:rPr>
        <w:t>20</w:t>
      </w:r>
      <w:r>
        <w:rPr>
          <w:rFonts w:hint="eastAsia"/>
          <w:color w:val="000000" w:themeColor="text1"/>
          <w:szCs w:val="28"/>
          <w:lang w:val="en-US" w:eastAsia="zh-CN"/>
          <w14:textFill>
            <w14:solidFill>
              <w14:schemeClr w14:val="tx1"/>
            </w14:solidFill>
          </w14:textFill>
        </w:rPr>
        <w:t>18】000012</w:t>
      </w:r>
      <w:r>
        <w:rPr>
          <w:rFonts w:hint="eastAsia"/>
          <w:color w:val="000000" w:themeColor="text1"/>
          <w:szCs w:val="28"/>
          <w14:textFill>
            <w14:solidFill>
              <w14:schemeClr w14:val="tx1"/>
            </w14:solidFill>
          </w14:textFill>
        </w:rPr>
        <w:t>，有效期2021年</w:t>
      </w:r>
      <w:r>
        <w:rPr>
          <w:rFonts w:hint="eastAsia"/>
          <w:color w:val="000000" w:themeColor="text1"/>
          <w:szCs w:val="28"/>
          <w:lang w:val="en-US" w:eastAsia="zh-CN"/>
          <w14:textFill>
            <w14:solidFill>
              <w14:schemeClr w14:val="tx1"/>
            </w14:solidFill>
          </w14:textFill>
        </w:rPr>
        <w:t>12</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12</w:t>
      </w:r>
      <w:r>
        <w:rPr>
          <w:rFonts w:hint="eastAsia"/>
          <w:color w:val="000000" w:themeColor="text1"/>
          <w:szCs w:val="28"/>
          <w14:textFill>
            <w14:solidFill>
              <w14:schemeClr w14:val="tx1"/>
            </w14:solidFill>
          </w14:textFill>
        </w:rPr>
        <w:t>日至2024年</w:t>
      </w:r>
      <w:r>
        <w:rPr>
          <w:rFonts w:hint="eastAsia"/>
          <w:color w:val="000000" w:themeColor="text1"/>
          <w:szCs w:val="28"/>
          <w:lang w:val="en-US" w:eastAsia="zh-CN"/>
          <w14:textFill>
            <w14:solidFill>
              <w14:schemeClr w14:val="tx1"/>
            </w14:solidFill>
          </w14:textFill>
        </w:rPr>
        <w:t>12</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11</w:t>
      </w:r>
      <w:r>
        <w:rPr>
          <w:rFonts w:hint="eastAsia"/>
          <w:color w:val="000000" w:themeColor="text1"/>
          <w:szCs w:val="28"/>
          <w14:textFill>
            <w14:solidFill>
              <w14:schemeClr w14:val="tx1"/>
            </w14:solidFill>
          </w14:textFill>
        </w:rPr>
        <w:t>日。</w:t>
      </w:r>
    </w:p>
    <w:p w14:paraId="35C5CE77">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lang w:val="en-US" w:eastAsia="zh-CN"/>
          <w14:textFill>
            <w14:solidFill>
              <w14:schemeClr w14:val="tx1"/>
            </w14:solidFill>
          </w14:textFill>
        </w:rPr>
      </w:pPr>
      <w:r>
        <w:rPr>
          <w:rFonts w:hint="eastAsia"/>
          <w:color w:val="000000" w:themeColor="text1"/>
          <w:szCs w:val="28"/>
          <w:lang w:eastAsia="zh-CN"/>
          <w14:textFill>
            <w14:solidFill>
              <w14:schemeClr w14:val="tx1"/>
            </w14:solidFill>
          </w14:textFill>
        </w:rPr>
        <w:t>文山市星运能源有限公司</w:t>
      </w:r>
      <w:r>
        <w:rPr>
          <w:rFonts w:hint="eastAsia"/>
          <w:color w:val="000000" w:themeColor="text1"/>
          <w:szCs w:val="28"/>
          <w14:textFill>
            <w14:solidFill>
              <w14:schemeClr w14:val="tx1"/>
            </w14:solidFill>
          </w14:textFill>
        </w:rPr>
        <w:t>占地面积</w:t>
      </w:r>
      <w:r>
        <w:rPr>
          <w:rFonts w:hint="eastAsia"/>
          <w:color w:val="000000" w:themeColor="text1"/>
          <w:szCs w:val="28"/>
          <w:lang w:val="en-US" w:eastAsia="zh-CN"/>
          <w14:textFill>
            <w14:solidFill>
              <w14:schemeClr w14:val="tx1"/>
            </w14:solidFill>
          </w14:textFill>
        </w:rPr>
        <w:t>1720.72㎡</w:t>
      </w:r>
      <w:r>
        <w:rPr>
          <w:rFonts w:hint="eastAsia"/>
          <w:color w:val="000000" w:themeColor="text1"/>
          <w:szCs w:val="28"/>
          <w14:textFill>
            <w14:solidFill>
              <w14:schemeClr w14:val="tx1"/>
            </w14:solidFill>
          </w14:textFill>
        </w:rPr>
        <w:t>，油罐</w:t>
      </w:r>
      <w:r>
        <w:rPr>
          <w:rFonts w:hint="eastAsia"/>
          <w:color w:val="000000" w:themeColor="text1"/>
          <w:szCs w:val="28"/>
          <w:lang w:val="en-US" w:eastAsia="zh-CN"/>
          <w14:textFill>
            <w14:solidFill>
              <w14:schemeClr w14:val="tx1"/>
            </w14:solidFill>
          </w14:textFill>
        </w:rPr>
        <w:t>区</w:t>
      </w:r>
      <w:r>
        <w:rPr>
          <w:rFonts w:hint="eastAsia"/>
          <w:color w:val="000000" w:themeColor="text1"/>
          <w:szCs w:val="28"/>
          <w14:textFill>
            <w14:solidFill>
              <w14:schemeClr w14:val="tx1"/>
            </w14:solidFill>
          </w14:textFill>
        </w:rPr>
        <w:t>设置有</w:t>
      </w:r>
      <w:r>
        <w:rPr>
          <w:rFonts w:hint="eastAsia"/>
          <w:color w:val="000000" w:themeColor="text1"/>
          <w:szCs w:val="28"/>
          <w:lang w:val="en-US" w:eastAsia="zh-CN"/>
          <w14:textFill>
            <w14:solidFill>
              <w14:schemeClr w14:val="tx1"/>
            </w14:solidFill>
          </w14:textFill>
        </w:rPr>
        <w:t>3</w:t>
      </w:r>
      <w:r>
        <w:rPr>
          <w:rFonts w:hint="eastAsia"/>
          <w:color w:val="000000" w:themeColor="text1"/>
          <w:szCs w:val="28"/>
          <w14:textFill>
            <w14:solidFill>
              <w14:schemeClr w14:val="tx1"/>
            </w14:solidFill>
          </w14:textFill>
        </w:rPr>
        <w:t>个卧式SF双层油罐，30m³92#汽油罐</w:t>
      </w:r>
      <w:r>
        <w:rPr>
          <w:rFonts w:hint="eastAsia"/>
          <w:color w:val="000000" w:themeColor="text1"/>
          <w:szCs w:val="28"/>
          <w:lang w:val="en-US" w:eastAsia="zh-CN"/>
          <w14:textFill>
            <w14:solidFill>
              <w14:schemeClr w14:val="tx1"/>
            </w14:solidFill>
          </w14:textFill>
        </w:rPr>
        <w:t>1</w:t>
      </w:r>
      <w:r>
        <w:rPr>
          <w:rFonts w:hint="eastAsia"/>
          <w:color w:val="000000" w:themeColor="text1"/>
          <w:szCs w:val="28"/>
          <w14:textFill>
            <w14:solidFill>
              <w14:schemeClr w14:val="tx1"/>
            </w14:solidFill>
          </w14:textFill>
        </w:rPr>
        <w:t>个，30m³95#</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现暂时停用</w:t>
      </w:r>
      <w:r>
        <w:rPr>
          <w:rFonts w:hint="eastAsia"/>
          <w:color w:val="000000" w:themeColor="text1"/>
          <w:szCs w:val="28"/>
          <w:lang w:eastAsia="zh-CN"/>
          <w14:textFill>
            <w14:solidFill>
              <w14:schemeClr w14:val="tx1"/>
            </w14:solidFill>
          </w14:textFill>
        </w:rPr>
        <w:t>）</w:t>
      </w:r>
      <w:r>
        <w:rPr>
          <w:rFonts w:hint="eastAsia"/>
          <w:color w:val="000000" w:themeColor="text1"/>
          <w:szCs w:val="28"/>
          <w14:textFill>
            <w14:solidFill>
              <w14:schemeClr w14:val="tx1"/>
            </w14:solidFill>
          </w14:textFill>
        </w:rPr>
        <w:t>汽油罐1个，</w:t>
      </w:r>
      <w:r>
        <w:rPr>
          <w:rFonts w:hint="eastAsia"/>
          <w:color w:val="000000" w:themeColor="text1"/>
          <w:szCs w:val="28"/>
          <w:lang w:val="en-US" w:eastAsia="zh-CN"/>
          <w14:textFill>
            <w14:solidFill>
              <w14:schemeClr w14:val="tx1"/>
            </w14:solidFill>
          </w14:textFill>
        </w:rPr>
        <w:t>5</w:t>
      </w:r>
      <w:r>
        <w:rPr>
          <w:rFonts w:hint="eastAsia"/>
          <w:color w:val="000000" w:themeColor="text1"/>
          <w:szCs w:val="28"/>
          <w14:textFill>
            <w14:solidFill>
              <w14:schemeClr w14:val="tx1"/>
            </w14:solidFill>
          </w14:textFill>
        </w:rPr>
        <w:t>0m³0#柴油罐</w:t>
      </w:r>
      <w:r>
        <w:rPr>
          <w:rFonts w:hint="eastAsia"/>
          <w:color w:val="000000" w:themeColor="text1"/>
          <w:szCs w:val="28"/>
          <w:lang w:val="en-US" w:eastAsia="zh-CN"/>
          <w14:textFill>
            <w14:solidFill>
              <w14:schemeClr w14:val="tx1"/>
            </w14:solidFill>
          </w14:textFill>
        </w:rPr>
        <w:t>1</w:t>
      </w:r>
      <w:r>
        <w:rPr>
          <w:rFonts w:hint="eastAsia"/>
          <w:color w:val="000000" w:themeColor="text1"/>
          <w:szCs w:val="28"/>
          <w14:textFill>
            <w14:solidFill>
              <w14:schemeClr w14:val="tx1"/>
            </w14:solidFill>
          </w14:textFill>
        </w:rPr>
        <w:t>个，总容积</w:t>
      </w:r>
      <w:r>
        <w:rPr>
          <w:rFonts w:hint="eastAsia"/>
          <w:color w:val="000000" w:themeColor="text1"/>
          <w:szCs w:val="28"/>
          <w:lang w:val="en-US" w:eastAsia="zh-CN"/>
          <w14:textFill>
            <w14:solidFill>
              <w14:schemeClr w14:val="tx1"/>
            </w14:solidFill>
          </w14:textFill>
        </w:rPr>
        <w:t>85</w:t>
      </w:r>
      <w:r>
        <w:rPr>
          <w:rFonts w:hint="eastAsia"/>
          <w:color w:val="000000" w:themeColor="text1"/>
          <w:szCs w:val="28"/>
          <w14:textFill>
            <w14:solidFill>
              <w14:schemeClr w14:val="tx1"/>
            </w14:solidFill>
          </w14:textFill>
        </w:rPr>
        <w:t>m³（柴油折半），为</w:t>
      </w:r>
      <w:r>
        <w:rPr>
          <w:rFonts w:hint="eastAsia"/>
          <w:color w:val="000000" w:themeColor="text1"/>
          <w:szCs w:val="28"/>
          <w:lang w:val="en-US" w:eastAsia="zh-CN"/>
          <w14:textFill>
            <w14:solidFill>
              <w14:schemeClr w14:val="tx1"/>
            </w14:solidFill>
          </w14:textFill>
        </w:rPr>
        <w:t>三</w:t>
      </w:r>
      <w:r>
        <w:rPr>
          <w:rFonts w:hint="eastAsia"/>
          <w:color w:val="000000" w:themeColor="text1"/>
          <w:szCs w:val="28"/>
          <w14:textFill>
            <w14:solidFill>
              <w14:schemeClr w14:val="tx1"/>
            </w14:solidFill>
          </w14:textFill>
        </w:rPr>
        <w:t>级加油站；加油区布置有</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座加油岛，</w:t>
      </w:r>
      <w:r>
        <w:rPr>
          <w:rFonts w:hint="eastAsia"/>
          <w:color w:val="000000" w:themeColor="text1"/>
          <w:szCs w:val="28"/>
          <w:lang w:val="en-US" w:eastAsia="zh-CN"/>
          <w14:textFill>
            <w14:solidFill>
              <w14:schemeClr w14:val="tx1"/>
            </w14:solidFill>
          </w14:textFill>
        </w:rPr>
        <w:t>设置4台双枪加油机</w:t>
      </w:r>
      <w:r>
        <w:rPr>
          <w:rFonts w:hint="eastAsia"/>
          <w:color w:val="000000" w:themeColor="text1"/>
          <w:szCs w:val="28"/>
          <w14:textFill>
            <w14:solidFill>
              <w14:schemeClr w14:val="tx1"/>
            </w14:solidFill>
          </w14:textFill>
        </w:rPr>
        <w:t>。目前从业人员为</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人，</w:t>
      </w:r>
      <w:r>
        <w:rPr>
          <w:rFonts w:hint="eastAsia"/>
          <w:color w:val="000000" w:themeColor="text1"/>
          <w:szCs w:val="28"/>
          <w:lang w:val="en-US" w:eastAsia="zh-CN"/>
          <w14:textFill>
            <w14:solidFill>
              <w14:schemeClr w14:val="tx1"/>
            </w14:solidFill>
          </w14:textFill>
        </w:rPr>
        <w:t>其中</w:t>
      </w:r>
      <w:r>
        <w:rPr>
          <w:rFonts w:hint="eastAsia"/>
          <w:color w:val="000000" w:themeColor="text1"/>
          <w:szCs w:val="28"/>
          <w14:textFill>
            <w14:solidFill>
              <w14:schemeClr w14:val="tx1"/>
            </w14:solidFill>
          </w14:textFill>
        </w:rPr>
        <w:t>主要负责人及安全管理人员已通过安全教育培训，并经考核合格，持证上岗，站内其他人员经站内培训合格后上岗。</w:t>
      </w:r>
    </w:p>
    <w:p w14:paraId="29FC8ABE">
      <w:pPr>
        <w:pStyle w:val="3"/>
        <w:rPr>
          <w:color w:val="000000" w:themeColor="text1"/>
          <w14:textFill>
            <w14:solidFill>
              <w14:schemeClr w14:val="tx1"/>
            </w14:solidFill>
          </w14:textFill>
        </w:rPr>
      </w:pPr>
      <w:bookmarkStart w:id="70" w:name="_Toc13218"/>
      <w:bookmarkStart w:id="71" w:name="_Toc27221"/>
      <w:r>
        <w:rPr>
          <w:color w:val="000000" w:themeColor="text1"/>
          <w14:textFill>
            <w14:solidFill>
              <w14:schemeClr w14:val="tx1"/>
            </w14:solidFill>
          </w14:textFill>
        </w:rPr>
        <w:t>地理位置及交通条件</w:t>
      </w:r>
      <w:bookmarkEnd w:id="69"/>
      <w:bookmarkEnd w:id="70"/>
      <w:bookmarkEnd w:id="71"/>
    </w:p>
    <w:p w14:paraId="24725E94">
      <w:pPr>
        <w:keepNext w:val="0"/>
        <w:keepLines w:val="0"/>
        <w:pageBreakBefore w:val="0"/>
        <w:widowControl w:val="0"/>
        <w:kinsoku/>
        <w:wordWrap/>
        <w:overflowPunct/>
        <w:topLinePunct w:val="0"/>
        <w:autoSpaceDE/>
        <w:autoSpaceDN/>
        <w:bidi w:val="0"/>
        <w:adjustRightInd/>
        <w:snapToGrid w:val="0"/>
        <w:textAlignment w:val="auto"/>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该加油站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云南省文山壮族苗族自治州文山市古木镇南街文马公路旁</w:t>
      </w:r>
      <w:r>
        <w:rPr>
          <w:rFonts w:hint="eastAsia"/>
          <w:color w:val="000000" w:themeColor="text1"/>
          <w:szCs w:val="28"/>
          <w14:textFill>
            <w14:solidFill>
              <w14:schemeClr w14:val="tx1"/>
            </w14:solidFill>
          </w14:textFill>
        </w:rPr>
        <w:t>，地理坐标：东经</w:t>
      </w:r>
      <w:r>
        <w:rPr>
          <w:rFonts w:hint="eastAsia"/>
          <w:color w:val="000000" w:themeColor="text1"/>
          <w:szCs w:val="28"/>
          <w:lang w:eastAsia="zh-CN"/>
          <w14:textFill>
            <w14:solidFill>
              <w14:schemeClr w14:val="tx1"/>
            </w14:solidFill>
          </w14:textFill>
        </w:rPr>
        <w:t>104°15′54.227″，</w:t>
      </w:r>
      <w:r>
        <w:rPr>
          <w:rFonts w:hint="eastAsia"/>
          <w:color w:val="000000" w:themeColor="text1"/>
          <w:szCs w:val="28"/>
          <w14:textFill>
            <w14:solidFill>
              <w14:schemeClr w14:val="tx1"/>
            </w14:solidFill>
          </w14:textFill>
        </w:rPr>
        <w:t>北纬23°</w:t>
      </w:r>
      <w:r>
        <w:rPr>
          <w:rFonts w:hint="eastAsia"/>
          <w:color w:val="000000" w:themeColor="text1"/>
          <w:szCs w:val="28"/>
          <w:lang w:val="en-US" w:eastAsia="zh-CN"/>
          <w14:textFill>
            <w14:solidFill>
              <w14:schemeClr w14:val="tx1"/>
            </w14:solidFill>
          </w14:textFill>
        </w:rPr>
        <w:t>15</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28.873</w:t>
      </w:r>
      <w:r>
        <w:rPr>
          <w:rFonts w:hint="eastAsia"/>
          <w:color w:val="000000" w:themeColor="text1"/>
          <w:szCs w:val="28"/>
          <w14:textFill>
            <w14:solidFill>
              <w14:schemeClr w14:val="tx1"/>
            </w14:solidFill>
          </w14:textFill>
        </w:rPr>
        <w:t>″</w:t>
      </w:r>
      <w:r>
        <w:rPr>
          <w:color w:val="000000" w:themeColor="text1"/>
          <w:kern w:val="0"/>
          <w:szCs w:val="28"/>
          <w14:textFill>
            <w14:solidFill>
              <w14:schemeClr w14:val="tx1"/>
            </w14:solidFill>
          </w14:textFill>
        </w:rPr>
        <w:t>。</w:t>
      </w:r>
      <w:r>
        <w:rPr>
          <w:rFonts w:hint="eastAsia"/>
          <w:color w:val="000000" w:themeColor="text1"/>
          <w:kern w:val="0"/>
          <w:szCs w:val="28"/>
          <w:lang w:val="en-US" w:eastAsia="zh-CN"/>
          <w14:textFill>
            <w14:solidFill>
              <w14:schemeClr w14:val="tx1"/>
            </w14:solidFill>
          </w14:textFill>
        </w:rPr>
        <w:t>加油站位于</w:t>
      </w:r>
      <w:r>
        <w:rPr>
          <w:rFonts w:hint="eastAsia"/>
          <w:color w:val="000000" w:themeColor="text1"/>
          <w:szCs w:val="28"/>
          <w:lang w:val="en-US" w:eastAsia="zh-CN"/>
          <w14:textFill>
            <w14:solidFill>
              <w14:schemeClr w14:val="tx1"/>
            </w14:solidFill>
          </w14:textFill>
        </w:rPr>
        <w:t>文马公路东侧</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交通位置便利。交通地理位置见图2-1。</w:t>
      </w:r>
    </w:p>
    <w:p w14:paraId="4C603DCF">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3639185</wp:posOffset>
                </wp:positionH>
                <wp:positionV relativeFrom="paragraph">
                  <wp:posOffset>2610485</wp:posOffset>
                </wp:positionV>
                <wp:extent cx="1295400" cy="333375"/>
                <wp:effectExtent l="415290" t="6350" r="11430" b="635635"/>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78970"/>
                            <a:gd name="adj2" fmla="val 22828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E09290">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286.55pt;margin-top:205.55pt;height:26.25pt;width:102pt;z-index:251663360;v-text-anchor:middle;mso-width-relative:page;mso-height-relative:page;" filled="f" stroked="t" coordsize="21600,21600" o:gfxdata="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D7&#10;kFtb1wAAAAsBAAAPAAAAAAAAAAEAIAAAACIAAABkcnMvZG93bnJldi54bWxQSwECFAAUAAAACACH&#10;TuJAeWXFdNACAAByBQAADgAAAAAAAAABACAAAAAmAQAAZHJzL2Uyb0RvYy54bWxQSwUGAAAAAAYA&#10;BgBZAQAAaAYAAAAA&#10;" adj="-6258,60110,14400">
                <v:fill on="f" focussize="0,0"/>
                <v:stroke weight="1pt" color="#FF0000 [3204]" miterlimit="8" joinstyle="miter"/>
                <v:imagedata o:title=""/>
                <o:lock v:ext="edit" aspectratio="f"/>
                <v:textbox>
                  <w:txbxContent>
                    <w:p w14:paraId="7CE09290">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v:textbox>
              </v:shape>
            </w:pict>
          </mc:Fallback>
        </mc:AlternateContent>
      </w:r>
      <w:r>
        <w:drawing>
          <wp:inline distT="0" distB="0" distL="114300" distR="114300">
            <wp:extent cx="5760085" cy="5071745"/>
            <wp:effectExtent l="0" t="0" r="635" b="3175"/>
            <wp:docPr id="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
                    <pic:cNvPicPr>
                      <a:picLocks noChangeAspect="1"/>
                    </pic:cNvPicPr>
                  </pic:nvPicPr>
                  <pic:blipFill>
                    <a:blip r:embed="rId40"/>
                    <a:stretch>
                      <a:fillRect/>
                    </a:stretch>
                  </pic:blipFill>
                  <pic:spPr>
                    <a:xfrm>
                      <a:off x="0" y="0"/>
                      <a:ext cx="5760085" cy="5071745"/>
                    </a:xfrm>
                    <a:prstGeom prst="rect">
                      <a:avLst/>
                    </a:prstGeom>
                    <a:noFill/>
                    <a:ln>
                      <a:noFill/>
                    </a:ln>
                  </pic:spPr>
                </pic:pic>
              </a:graphicData>
            </a:graphic>
          </wp:inline>
        </w:drawing>
      </w:r>
    </w:p>
    <w:p w14:paraId="6A33898E">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图2-1 交通地理位置图</w:t>
      </w:r>
    </w:p>
    <w:p w14:paraId="1ABF6E33">
      <w:pPr>
        <w:pStyle w:val="3"/>
        <w:rPr>
          <w:color w:val="000000" w:themeColor="text1"/>
          <w14:textFill>
            <w14:solidFill>
              <w14:schemeClr w14:val="tx1"/>
            </w14:solidFill>
          </w14:textFill>
        </w:rPr>
      </w:pPr>
      <w:bookmarkStart w:id="72" w:name="_Toc275268708"/>
      <w:bookmarkStart w:id="73" w:name="_Toc4194"/>
      <w:bookmarkStart w:id="74" w:name="_Toc27957"/>
      <w:r>
        <w:rPr>
          <w:color w:val="000000" w:themeColor="text1"/>
          <w14:textFill>
            <w14:solidFill>
              <w14:schemeClr w14:val="tx1"/>
            </w14:solidFill>
          </w14:textFill>
        </w:rPr>
        <w:t>自然条件</w:t>
      </w:r>
      <w:bookmarkEnd w:id="72"/>
      <w:bookmarkEnd w:id="73"/>
      <w:bookmarkEnd w:id="74"/>
    </w:p>
    <w:p w14:paraId="461C74AC">
      <w:pPr>
        <w:pStyle w:val="4"/>
        <w:ind w:firstLine="562"/>
        <w:rPr>
          <w:color w:val="000000" w:themeColor="text1"/>
          <w14:textFill>
            <w14:solidFill>
              <w14:schemeClr w14:val="tx1"/>
            </w14:solidFill>
          </w14:textFill>
        </w:rPr>
      </w:pPr>
      <w:bookmarkStart w:id="75" w:name="_Toc1911"/>
      <w:bookmarkStart w:id="76" w:name="_Toc22591"/>
      <w:r>
        <w:rPr>
          <w:rFonts w:hint="eastAsia"/>
          <w:color w:val="000000" w:themeColor="text1"/>
          <w14:textFill>
            <w14:solidFill>
              <w14:schemeClr w14:val="tx1"/>
            </w14:solidFill>
          </w14:textFill>
        </w:rPr>
        <w:t>地质地貌</w:t>
      </w:r>
      <w:bookmarkEnd w:id="75"/>
      <w:bookmarkEnd w:id="76"/>
    </w:p>
    <w:p w14:paraId="50CFC776">
      <w:pPr>
        <w:rPr>
          <w:color w:val="000000" w:themeColor="text1"/>
          <w14:textFill>
            <w14:solidFill>
              <w14:schemeClr w14:val="tx1"/>
            </w14:solidFill>
          </w14:textFill>
        </w:rPr>
      </w:pPr>
      <w:r>
        <w:rPr>
          <w:rFonts w:hint="eastAsia"/>
          <w:color w:val="000000" w:themeColor="text1"/>
          <w14:textFill>
            <w14:solidFill>
              <w14:schemeClr w14:val="tx1"/>
            </w14:solidFill>
          </w14:textFill>
        </w:rPr>
        <w:t>文山市内地形地貌属滇东南岩溶山区，地形复杂，喀斯特岩溶地貌突出，总体地势西北高、东南低，山峦连绵起伏，河谷、沟壑纵横交错。西部有薄竹山、连云山、化余山、老君山，坡度一般在</w:t>
      </w:r>
      <w:r>
        <w:rPr>
          <w:color w:val="000000" w:themeColor="text1"/>
          <w14:textFill>
            <w14:solidFill>
              <w14:schemeClr w14:val="tx1"/>
            </w14:solidFill>
          </w14:textFill>
        </w:rPr>
        <w:t>25°以上。地面海拔约1250</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，山峰海拔约1500余米，薄竹山海拔2991.2</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，为滇东南第一高峰，该峰临空虎踞、雄峙西南。西南部那么果河和法果河交汇处最低海拔618</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，与最高峰相差达2373.2</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w:t>
      </w:r>
    </w:p>
    <w:p w14:paraId="3E6ADC04">
      <w:pPr>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古木镇地处云贵高原滇东部，地势西北高、东南低，地形分为山区、半山区，属典型的喀斯特地貌，主要山脉有大黑山、八哥山等，境内最高峰大黑山，海拔1590</w:t>
      </w:r>
      <w:r>
        <w:rPr>
          <w:rFonts w:hint="eastAsia" w:ascii="宋体" w:hAnsi="宋体" w:eastAsia="宋体" w:cs="宋体"/>
          <w:color w:val="000000" w:themeColor="text1"/>
          <w:lang w:val="en-US" w:eastAsia="zh-CN"/>
          <w14:textFill>
            <w14:solidFill>
              <w14:schemeClr w14:val="tx1"/>
            </w14:solidFill>
          </w14:textFill>
        </w:rPr>
        <w:t>m</w:t>
      </w:r>
      <w:r>
        <w:rPr>
          <w:rFonts w:ascii="宋体" w:hAnsi="宋体" w:eastAsia="宋体" w:cs="宋体"/>
          <w:color w:val="000000" w:themeColor="text1"/>
          <w14:textFill>
            <w14:solidFill>
              <w14:schemeClr w14:val="tx1"/>
            </w14:solidFill>
          </w14:textFill>
        </w:rPr>
        <w:t>；最低点窑塘山，海拔1250</w:t>
      </w:r>
      <w:r>
        <w:rPr>
          <w:rFonts w:hint="eastAsia" w:ascii="宋体" w:hAnsi="宋体" w:eastAsia="宋体" w:cs="宋体"/>
          <w:color w:val="000000" w:themeColor="text1"/>
          <w:lang w:val="en-US" w:eastAsia="zh-CN"/>
          <w14:textFill>
            <w14:solidFill>
              <w14:schemeClr w14:val="tx1"/>
            </w14:solidFill>
          </w14:textFill>
        </w:rPr>
        <w:t>m</w:t>
      </w:r>
      <w:r>
        <w:rPr>
          <w:rFonts w:ascii="宋体" w:hAnsi="宋体" w:eastAsia="宋体" w:cs="宋体"/>
          <w:color w:val="000000" w:themeColor="text1"/>
          <w14:textFill>
            <w14:solidFill>
              <w14:schemeClr w14:val="tx1"/>
            </w14:solidFill>
          </w14:textFill>
        </w:rPr>
        <w:t>。</w:t>
      </w:r>
    </w:p>
    <w:p w14:paraId="7CC1DA72">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根据加油站运行多年以及项目组现场勘察情况，加油站</w:t>
      </w: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暂</w:t>
      </w:r>
      <w:r>
        <w:rPr>
          <w:color w:val="000000" w:themeColor="text1"/>
          <w14:textFill>
            <w14:solidFill>
              <w14:schemeClr w14:val="tx1"/>
            </w14:solidFill>
          </w14:textFill>
        </w:rPr>
        <w:t>未发现滑坡、坍塌等不良地质现象</w:t>
      </w:r>
      <w:r>
        <w:rPr>
          <w:rFonts w:hint="eastAsia"/>
          <w:color w:val="000000" w:themeColor="text1"/>
          <w14:textFill>
            <w14:solidFill>
              <w14:schemeClr w14:val="tx1"/>
            </w14:solidFill>
          </w14:textFill>
        </w:rPr>
        <w:t>。</w:t>
      </w:r>
    </w:p>
    <w:p w14:paraId="6ABE71B0">
      <w:pPr>
        <w:pStyle w:val="4"/>
        <w:ind w:firstLine="562"/>
        <w:rPr>
          <w:color w:val="000000" w:themeColor="text1"/>
          <w14:textFill>
            <w14:solidFill>
              <w14:schemeClr w14:val="tx1"/>
            </w14:solidFill>
          </w14:textFill>
        </w:rPr>
      </w:pPr>
      <w:bookmarkStart w:id="77" w:name="_Toc11377"/>
      <w:bookmarkStart w:id="78" w:name="_Toc23244"/>
      <w:r>
        <w:rPr>
          <w:rFonts w:hint="eastAsia"/>
          <w:color w:val="000000" w:themeColor="text1"/>
          <w14:textFill>
            <w14:solidFill>
              <w14:schemeClr w14:val="tx1"/>
            </w14:solidFill>
          </w14:textFill>
        </w:rPr>
        <w:t>气象条件</w:t>
      </w:r>
      <w:bookmarkEnd w:id="77"/>
      <w:bookmarkEnd w:id="78"/>
    </w:p>
    <w:p w14:paraId="273B53C9">
      <w:pPr>
        <w:pStyle w:val="17"/>
        <w:rPr>
          <w:rFonts w:hint="eastAsia"/>
          <w:color w:val="000000" w:themeColor="text1"/>
          <w:szCs w:val="28"/>
          <w:lang w:eastAsia="zh-CN"/>
          <w14:textFill>
            <w14:solidFill>
              <w14:schemeClr w14:val="tx1"/>
            </w14:solidFill>
          </w14:textFill>
        </w:rPr>
      </w:pPr>
      <w:bookmarkStart w:id="79" w:name="_Toc275268712"/>
      <w:bookmarkStart w:id="80" w:name="_Toc248220514"/>
      <w:r>
        <w:rPr>
          <w:rFonts w:hint="eastAsia"/>
          <w:color w:val="000000" w:themeColor="text1"/>
          <w:szCs w:val="28"/>
          <w:lang w:eastAsia="zh-CN"/>
          <w14:textFill>
            <w14:solidFill>
              <w14:schemeClr w14:val="tx1"/>
            </w14:solidFill>
          </w14:textFill>
        </w:rPr>
        <w:t>文山市地处云南省东南部低纬度高原，东南近</w:t>
      </w:r>
      <w:r>
        <w:rPr>
          <w:rFonts w:hint="eastAsia"/>
          <w:color w:val="000000" w:themeColor="text1"/>
          <w:szCs w:val="28"/>
          <w:lang w:eastAsia="zh-CN"/>
          <w14:textFill>
            <w14:solidFill>
              <w14:schemeClr w14:val="tx1"/>
            </w14:solidFill>
          </w14:textFill>
        </w:rPr>
        <w:fldChar w:fldCharType="begin"/>
      </w:r>
      <w:r>
        <w:rPr>
          <w:rFonts w:hint="eastAsia"/>
          <w:color w:val="000000" w:themeColor="text1"/>
          <w:szCs w:val="28"/>
          <w:lang w:eastAsia="zh-CN"/>
          <w14:textFill>
            <w14:solidFill>
              <w14:schemeClr w14:val="tx1"/>
            </w14:solidFill>
          </w14:textFill>
        </w:rPr>
        <w:instrText xml:space="preserve"> HYPERLINK "https://baike.baidu.com/item/%E5%8C%97%E9%83%A8%E6%B9%BE/318903?fromModule=lemma_inlink" \t "_blank" </w:instrText>
      </w:r>
      <w:r>
        <w:rPr>
          <w:rFonts w:hint="eastAsia"/>
          <w:color w:val="000000" w:themeColor="text1"/>
          <w:szCs w:val="28"/>
          <w:lang w:eastAsia="zh-CN"/>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北部湾</w:t>
      </w:r>
      <w:r>
        <w:rPr>
          <w:rFonts w:hint="eastAsia"/>
          <w:color w:val="000000" w:themeColor="text1"/>
          <w:szCs w:val="28"/>
          <w:lang w:eastAsia="zh-CN"/>
          <w14:textFill>
            <w14:solidFill>
              <w14:schemeClr w14:val="tx1"/>
            </w14:solidFill>
          </w14:textFill>
        </w:rPr>
        <w:fldChar w:fldCharType="end"/>
      </w:r>
      <w:r>
        <w:rPr>
          <w:rFonts w:hint="eastAsia"/>
          <w:color w:val="000000" w:themeColor="text1"/>
          <w:szCs w:val="28"/>
          <w:lang w:eastAsia="zh-CN"/>
          <w14:textFill>
            <w14:solidFill>
              <w14:schemeClr w14:val="tx1"/>
            </w14:solidFill>
          </w14:textFill>
        </w:rPr>
        <w:t>，西南邻</w:t>
      </w:r>
      <w:r>
        <w:rPr>
          <w:rFonts w:hint="eastAsia"/>
          <w:color w:val="000000" w:themeColor="text1"/>
          <w:szCs w:val="28"/>
          <w:lang w:eastAsia="zh-CN"/>
          <w14:textFill>
            <w14:solidFill>
              <w14:schemeClr w14:val="tx1"/>
            </w14:solidFill>
          </w14:textFill>
        </w:rPr>
        <w:fldChar w:fldCharType="begin"/>
      </w:r>
      <w:r>
        <w:rPr>
          <w:rFonts w:hint="eastAsia"/>
          <w:color w:val="000000" w:themeColor="text1"/>
          <w:szCs w:val="28"/>
          <w:lang w:eastAsia="zh-CN"/>
          <w14:textFill>
            <w14:solidFill>
              <w14:schemeClr w14:val="tx1"/>
            </w14:solidFill>
          </w14:textFill>
        </w:rPr>
        <w:instrText xml:space="preserve"> HYPERLINK "https://baike.baidu.com/item/%E5%AD%9F%E5%8A%A0%E6%8B%89%E6%B9%BE/317698?fromModule=lemma_inlink" \t "_blank" </w:instrText>
      </w:r>
      <w:r>
        <w:rPr>
          <w:rFonts w:hint="eastAsia"/>
          <w:color w:val="000000" w:themeColor="text1"/>
          <w:szCs w:val="28"/>
          <w:lang w:eastAsia="zh-CN"/>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孟加拉湾</w:t>
      </w:r>
      <w:r>
        <w:rPr>
          <w:rFonts w:hint="eastAsia"/>
          <w:color w:val="000000" w:themeColor="text1"/>
          <w:szCs w:val="28"/>
          <w:lang w:eastAsia="zh-CN"/>
          <w14:textFill>
            <w14:solidFill>
              <w14:schemeClr w14:val="tx1"/>
            </w14:solidFill>
          </w14:textFill>
        </w:rPr>
        <w:fldChar w:fldCharType="end"/>
      </w:r>
      <w:r>
        <w:rPr>
          <w:rFonts w:hint="eastAsia"/>
          <w:color w:val="000000" w:themeColor="text1"/>
          <w:szCs w:val="28"/>
          <w:lang w:eastAsia="zh-CN"/>
          <w14:textFill>
            <w14:solidFill>
              <w14:schemeClr w14:val="tx1"/>
            </w14:solidFill>
          </w14:textFill>
        </w:rPr>
        <w:t>，来自这两个方向的水蒸汽带来丰沛降雨。北回归线横穿市境，市境大部在北回归线以南，属中亚热带季风气候。大部地区冬无严寒，夏无酷暑，春秋长，冬夏短，四季气候宜人。整体气候通常是“一年有冷热，久雨变成秋；冬晴如春暖，惊蛰有冬寒”。年平均日照时数2028</w:t>
      </w:r>
      <w:r>
        <w:rPr>
          <w:rFonts w:hint="eastAsia"/>
          <w:color w:val="000000" w:themeColor="text1"/>
          <w:szCs w:val="28"/>
          <w:lang w:val="en-US" w:eastAsia="zh-CN"/>
          <w14:textFill>
            <w14:solidFill>
              <w14:schemeClr w14:val="tx1"/>
            </w14:solidFill>
          </w14:textFill>
        </w:rPr>
        <w:t>h</w:t>
      </w:r>
      <w:r>
        <w:rPr>
          <w:rFonts w:hint="eastAsia"/>
          <w:color w:val="000000" w:themeColor="text1"/>
          <w:szCs w:val="28"/>
          <w:lang w:eastAsia="zh-CN"/>
          <w14:textFill>
            <w14:solidFill>
              <w14:schemeClr w14:val="tx1"/>
            </w14:solidFill>
          </w14:textFill>
        </w:rPr>
        <w:t>，年均积温6829.3℃。无霜期平均为309</w:t>
      </w:r>
      <w:r>
        <w:rPr>
          <w:rFonts w:hint="eastAsia"/>
          <w:color w:val="000000" w:themeColor="text1"/>
          <w:szCs w:val="28"/>
          <w:lang w:val="en-US" w:eastAsia="zh-CN"/>
          <w14:textFill>
            <w14:solidFill>
              <w14:schemeClr w14:val="tx1"/>
            </w14:solidFill>
          </w14:textFill>
        </w:rPr>
        <w:t>d</w:t>
      </w:r>
      <w:r>
        <w:rPr>
          <w:rFonts w:hint="eastAsia"/>
          <w:color w:val="000000" w:themeColor="text1"/>
          <w:szCs w:val="28"/>
          <w:lang w:eastAsia="zh-CN"/>
          <w14:textFill>
            <w14:solidFill>
              <w14:schemeClr w14:val="tx1"/>
            </w14:solidFill>
          </w14:textFill>
        </w:rPr>
        <w:t>，初霜出现于12月初，终霜出现于1月底，雪天平均约10年一遇，年平均气温18.4℃，全年昼夜温差11.7℃，平均相对湿度75%，常年平均降雨量1187.8</w:t>
      </w:r>
      <w:r>
        <w:rPr>
          <w:rFonts w:hint="eastAsia"/>
          <w:color w:val="000000" w:themeColor="text1"/>
          <w:szCs w:val="28"/>
          <w:lang w:val="en-US" w:eastAsia="zh-CN"/>
          <w14:textFill>
            <w14:solidFill>
              <w14:schemeClr w14:val="tx1"/>
            </w14:solidFill>
          </w14:textFill>
        </w:rPr>
        <w:t>mm</w:t>
      </w:r>
      <w:r>
        <w:rPr>
          <w:rFonts w:hint="eastAsia"/>
          <w:color w:val="000000" w:themeColor="text1"/>
          <w:szCs w:val="28"/>
          <w:lang w:eastAsia="zh-CN"/>
          <w14:textFill>
            <w14:solidFill>
              <w14:schemeClr w14:val="tx1"/>
            </w14:solidFill>
          </w14:textFill>
        </w:rPr>
        <w:t>，全年降雨量约28亿</w:t>
      </w:r>
      <w:r>
        <w:rPr>
          <w:rFonts w:hint="eastAsia"/>
          <w:vertAlign w:val="baseline"/>
          <w:lang w:val="en-US" w:eastAsia="zh-CN"/>
        </w:rPr>
        <w:t>m</w:t>
      </w:r>
      <w:r>
        <w:rPr>
          <w:rFonts w:hint="eastAsia"/>
          <w:vertAlign w:val="superscript"/>
          <w:lang w:val="en-US" w:eastAsia="zh-CN"/>
        </w:rPr>
        <w:t>3</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文山市</w:t>
      </w:r>
      <w:r>
        <w:rPr>
          <w:rFonts w:hint="eastAsia"/>
          <w:color w:val="000000" w:themeColor="text1"/>
          <w:szCs w:val="28"/>
          <w:lang w:eastAsia="zh-CN"/>
          <w14:textFill>
            <w14:solidFill>
              <w14:schemeClr w14:val="tx1"/>
            </w14:solidFill>
          </w14:textFill>
        </w:rPr>
        <w:t>常年主导风向</w:t>
      </w:r>
      <w:r>
        <w:rPr>
          <w:rFonts w:hint="eastAsia"/>
          <w:color w:val="000000" w:themeColor="text1"/>
          <w:szCs w:val="28"/>
          <w:lang w:val="en-US" w:eastAsia="zh-CN"/>
          <w14:textFill>
            <w14:solidFill>
              <w14:schemeClr w14:val="tx1"/>
            </w14:solidFill>
          </w14:textFill>
        </w:rPr>
        <w:t>东南风</w:t>
      </w:r>
      <w:r>
        <w:rPr>
          <w:rFonts w:hint="eastAsia"/>
          <w:color w:val="000000" w:themeColor="text1"/>
          <w:szCs w:val="28"/>
          <w:lang w:eastAsia="zh-CN"/>
          <w14:textFill>
            <w14:solidFill>
              <w14:schemeClr w14:val="tx1"/>
            </w14:solidFill>
          </w14:textFill>
        </w:rPr>
        <w:t>，多年平均风速2.8m/s。</w:t>
      </w:r>
    </w:p>
    <w:p w14:paraId="428C1D0D">
      <w:pPr>
        <w:pStyle w:val="17"/>
        <w:rPr>
          <w:rFonts w:hint="eastAsia" w:ascii="宋体" w:hAnsi="宋体" w:eastAsia="宋体" w:cs="Times New Roman"/>
          <w:color w:val="000000" w:themeColor="text1"/>
          <w:szCs w:val="28"/>
          <w:lang w:eastAsia="zh-CN"/>
          <w14:textFill>
            <w14:solidFill>
              <w14:schemeClr w14:val="tx1"/>
            </w14:solidFill>
          </w14:textFill>
        </w:rPr>
      </w:pPr>
      <w:r>
        <w:rPr>
          <w:rFonts w:hint="eastAsia" w:ascii="宋体" w:hAnsi="宋体" w:eastAsia="宋体" w:cs="Times New Roman"/>
          <w:color w:val="000000" w:themeColor="text1"/>
          <w:szCs w:val="28"/>
          <w:lang w:eastAsia="zh-CN"/>
          <w14:textFill>
            <w14:solidFill>
              <w14:schemeClr w14:val="tx1"/>
            </w14:solidFill>
          </w14:textFill>
        </w:rPr>
        <w:t>古木镇属亚热带季风气候，其特点是大部地区冬无严寒，夏无酷暑，偶有高热和冷凉天气。多年平均气温17.2℃，1月平均气温9.9℃，极端最低气温-3℃（1975年12月23日）；7月平均气温22.8℃，极端最高气温32.2℃（1994年4月）。最低月均气温6.2℃（1968年2月）。平均气温年较差11.8℃，最大日较差21.7℃（1968年12月28日）。生长期年平均356天，无霜期年平均307天，最长达360天，最短为268天。年平均日照时数2018小时，年总辐射121.3千卡/平方厘米。年平均降水量1285.1毫米，年平均降水日数为152.1天，最多达169天（1964年），最少为145天（1969年）。极端年最大雨量174.2</w:t>
      </w:r>
      <w:r>
        <w:rPr>
          <w:rFonts w:hint="eastAsia" w:ascii="宋体" w:hAnsi="宋体" w:eastAsia="宋体" w:cs="Times New Roman"/>
          <w:color w:val="000000" w:themeColor="text1"/>
          <w:szCs w:val="28"/>
          <w:lang w:val="en-US" w:eastAsia="zh-CN"/>
          <w14:textFill>
            <w14:solidFill>
              <w14:schemeClr w14:val="tx1"/>
            </w14:solidFill>
          </w14:textFill>
        </w:rPr>
        <w:t>mm</w:t>
      </w:r>
      <w:r>
        <w:rPr>
          <w:rFonts w:hint="eastAsia" w:ascii="宋体" w:hAnsi="宋体" w:eastAsia="宋体" w:cs="Times New Roman"/>
          <w:color w:val="000000" w:themeColor="text1"/>
          <w:szCs w:val="28"/>
          <w:lang w:eastAsia="zh-CN"/>
          <w14:textFill>
            <w14:solidFill>
              <w14:schemeClr w14:val="tx1"/>
            </w14:solidFill>
          </w14:textFill>
        </w:rPr>
        <w:t>（1978年），极端年最少雨量1024.3</w:t>
      </w:r>
      <w:r>
        <w:rPr>
          <w:rFonts w:hint="eastAsia" w:ascii="宋体" w:hAnsi="宋体" w:eastAsia="宋体" w:cs="Times New Roman"/>
          <w:color w:val="000000" w:themeColor="text1"/>
          <w:szCs w:val="28"/>
          <w:lang w:val="en-US" w:eastAsia="zh-CN"/>
          <w14:textFill>
            <w14:solidFill>
              <w14:schemeClr w14:val="tx1"/>
            </w14:solidFill>
          </w14:textFill>
        </w:rPr>
        <w:t>mm</w:t>
      </w:r>
      <w:r>
        <w:rPr>
          <w:rFonts w:hint="eastAsia" w:ascii="宋体" w:hAnsi="宋体" w:eastAsia="宋体" w:cs="Times New Roman"/>
          <w:color w:val="000000" w:themeColor="text1"/>
          <w:szCs w:val="28"/>
          <w:lang w:eastAsia="zh-CN"/>
          <w14:textFill>
            <w14:solidFill>
              <w14:schemeClr w14:val="tx1"/>
            </w14:solidFill>
          </w14:textFill>
        </w:rPr>
        <w:t>（1980年）。降雨集中在每年5—10月，8月最多。</w:t>
      </w:r>
    </w:p>
    <w:p w14:paraId="1B2F5A29">
      <w:pPr>
        <w:pStyle w:val="4"/>
        <w:ind w:firstLine="562"/>
        <w:rPr>
          <w:color w:val="000000" w:themeColor="text1"/>
          <w14:textFill>
            <w14:solidFill>
              <w14:schemeClr w14:val="tx1"/>
            </w14:solidFill>
          </w14:textFill>
        </w:rPr>
      </w:pPr>
      <w:bookmarkStart w:id="81" w:name="_Toc18480"/>
      <w:bookmarkStart w:id="82" w:name="_Toc27691"/>
      <w:r>
        <w:rPr>
          <w:rFonts w:hint="eastAsia"/>
          <w:color w:val="000000" w:themeColor="text1"/>
          <w14:textFill>
            <w14:solidFill>
              <w14:schemeClr w14:val="tx1"/>
            </w14:solidFill>
          </w14:textFill>
        </w:rPr>
        <w:t>地震条件</w:t>
      </w:r>
      <w:bookmarkEnd w:id="81"/>
      <w:bookmarkEnd w:id="82"/>
    </w:p>
    <w:p w14:paraId="28C0A749">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根据《建筑抗震设计规范（2024年版）》（GB50011-2010）附录A</w:t>
      </w:r>
      <w:r>
        <w:rPr>
          <w:rFonts w:hint="eastAsia"/>
          <w:color w:val="000000" w:themeColor="text1"/>
          <w:szCs w:val="28"/>
          <w:lang w:val="en-US" w:eastAsia="zh-CN"/>
          <w14:textFill>
            <w14:solidFill>
              <w14:schemeClr w14:val="tx1"/>
            </w14:solidFill>
          </w14:textFill>
        </w:rPr>
        <w:t>.</w:t>
      </w:r>
      <w:r>
        <w:rPr>
          <w:rFonts w:hint="eastAsia"/>
          <w:color w:val="000000" w:themeColor="text1"/>
          <w:szCs w:val="28"/>
          <w:lang w:eastAsia="zh-CN"/>
          <w14:textFill>
            <w14:solidFill>
              <w14:schemeClr w14:val="tx1"/>
            </w14:solidFill>
          </w14:textFill>
        </w:rPr>
        <w:t>22，</w:t>
      </w:r>
      <w:r>
        <w:rPr>
          <w:rFonts w:hint="eastAsia"/>
          <w:color w:val="000000" w:themeColor="text1"/>
          <w:szCs w:val="28"/>
          <w:lang w:val="en-US" w:eastAsia="zh-CN"/>
          <w14:textFill>
            <w14:solidFill>
              <w14:schemeClr w14:val="tx1"/>
            </w14:solidFill>
          </w14:textFill>
        </w:rPr>
        <w:t>文山市</w:t>
      </w:r>
      <w:r>
        <w:rPr>
          <w:rFonts w:hint="eastAsia"/>
          <w:color w:val="000000" w:themeColor="text1"/>
          <w:szCs w:val="28"/>
          <w:lang w:eastAsia="zh-CN"/>
          <w14:textFill>
            <w14:solidFill>
              <w14:schemeClr w14:val="tx1"/>
            </w14:solidFill>
          </w14:textFill>
        </w:rPr>
        <w:t>抗震设防烈度为</w:t>
      </w:r>
      <w:r>
        <w:rPr>
          <w:rFonts w:hint="eastAsia"/>
          <w:color w:val="000000" w:themeColor="text1"/>
          <w:szCs w:val="28"/>
          <w:lang w:val="en-US" w:eastAsia="zh-CN"/>
          <w14:textFill>
            <w14:solidFill>
              <w14:schemeClr w14:val="tx1"/>
            </w14:solidFill>
          </w14:textFill>
        </w:rPr>
        <w:t>7</w:t>
      </w:r>
      <w:r>
        <w:rPr>
          <w:rFonts w:hint="eastAsia"/>
          <w:color w:val="000000" w:themeColor="text1"/>
          <w:szCs w:val="28"/>
          <w:lang w:eastAsia="zh-CN"/>
          <w14:textFill>
            <w14:solidFill>
              <w14:schemeClr w14:val="tx1"/>
            </w14:solidFill>
          </w14:textFill>
        </w:rPr>
        <w:t>度，设计地震分组为第三组，设计基本地震加速度值为0.</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lang w:eastAsia="zh-CN"/>
          <w14:textFill>
            <w14:solidFill>
              <w14:schemeClr w14:val="tx1"/>
            </w14:solidFill>
          </w14:textFill>
        </w:rPr>
        <w:t>g。</w:t>
      </w:r>
    </w:p>
    <w:p w14:paraId="7B7DBF61">
      <w:pPr>
        <w:pStyle w:val="3"/>
        <w:rPr>
          <w:color w:val="auto"/>
        </w:rPr>
      </w:pPr>
      <w:bookmarkStart w:id="83" w:name="_Toc13995"/>
      <w:bookmarkStart w:id="84" w:name="_Toc25370"/>
      <w:r>
        <w:rPr>
          <w:rFonts w:hint="eastAsia"/>
          <w:color w:val="auto"/>
        </w:rPr>
        <w:t>加油站</w:t>
      </w:r>
      <w:r>
        <w:rPr>
          <w:color w:val="auto"/>
        </w:rPr>
        <w:t>周边情况</w:t>
      </w:r>
      <w:bookmarkEnd w:id="79"/>
      <w:bookmarkEnd w:id="80"/>
      <w:bookmarkEnd w:id="83"/>
      <w:bookmarkEnd w:id="84"/>
    </w:p>
    <w:p w14:paraId="291F2720">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（1）加油站周边情况</w:t>
      </w:r>
    </w:p>
    <w:p w14:paraId="29DDB7A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该加油站位于文山市古木</w:t>
      </w:r>
      <w:r>
        <w:rPr>
          <w:rFonts w:hint="eastAsia"/>
          <w:color w:val="000000" w:themeColor="text1"/>
          <w:szCs w:val="28"/>
          <w:lang w:val="en-US" w:eastAsia="zh-CN"/>
          <w14:textFill>
            <w14:solidFill>
              <w14:schemeClr w14:val="tx1"/>
            </w14:solidFill>
          </w14:textFill>
        </w:rPr>
        <w:t>镇</w:t>
      </w:r>
      <w:r>
        <w:rPr>
          <w:rFonts w:hint="eastAsia"/>
          <w:color w:val="000000" w:themeColor="text1"/>
          <w:szCs w:val="28"/>
          <w:lang w:eastAsia="zh-CN"/>
          <w14:textFill>
            <w14:solidFill>
              <w14:schemeClr w14:val="tx1"/>
            </w14:solidFill>
          </w14:textFill>
        </w:rPr>
        <w:t>南街文马公路旁</w:t>
      </w:r>
      <w:r>
        <w:rPr>
          <w:rFonts w:hint="eastAsia"/>
          <w:color w:val="000000" w:themeColor="text1"/>
          <w:szCs w:val="28"/>
          <w:lang w:val="en-US" w:eastAsia="zh-CN"/>
          <w14:textFill>
            <w14:solidFill>
              <w14:schemeClr w14:val="tx1"/>
            </w14:solidFill>
          </w14:textFill>
        </w:rPr>
        <w:t>，</w:t>
      </w:r>
      <w:r>
        <w:rPr>
          <w:rFonts w:hint="eastAsia"/>
          <w:color w:val="000000" w:themeColor="text1"/>
          <w:szCs w:val="28"/>
          <w:lang w:eastAsia="zh-CN"/>
          <w14:textFill>
            <w14:solidFill>
              <w14:schemeClr w14:val="tx1"/>
            </w14:solidFill>
          </w14:textFill>
        </w:rPr>
        <w:t>加油站坐东朝西。加油站东面为民房、</w:t>
      </w:r>
      <w:r>
        <w:rPr>
          <w:rFonts w:hint="eastAsia"/>
          <w:color w:val="000000" w:themeColor="text1"/>
          <w:szCs w:val="28"/>
          <w:lang w:val="en-US" w:eastAsia="zh-CN"/>
          <w14:textFill>
            <w14:solidFill>
              <w14:schemeClr w14:val="tx1"/>
            </w14:solidFill>
          </w14:textFill>
        </w:rPr>
        <w:t>架空电力线及</w:t>
      </w:r>
      <w:r>
        <w:rPr>
          <w:rFonts w:hint="eastAsia"/>
          <w:color w:val="000000" w:themeColor="text1"/>
          <w:szCs w:val="28"/>
          <w:lang w:eastAsia="zh-CN"/>
          <w14:textFill>
            <w14:solidFill>
              <w14:schemeClr w14:val="tx1"/>
            </w14:solidFill>
          </w14:textFill>
        </w:rPr>
        <w:t>架空通信线路；加油站南部</w:t>
      </w:r>
      <w:r>
        <w:rPr>
          <w:rFonts w:hint="eastAsia"/>
          <w:color w:val="000000" w:themeColor="text1"/>
          <w:szCs w:val="28"/>
          <w:lang w:val="en-US" w:eastAsia="zh-CN"/>
          <w14:textFill>
            <w14:solidFill>
              <w14:schemeClr w14:val="tx1"/>
            </w14:solidFill>
          </w14:textFill>
        </w:rPr>
        <w:t>为站内</w:t>
      </w:r>
      <w:r>
        <w:rPr>
          <w:rFonts w:hint="eastAsia"/>
          <w:color w:val="000000" w:themeColor="text1"/>
          <w:szCs w:val="28"/>
          <w:lang w:eastAsia="zh-CN"/>
          <w14:textFill>
            <w14:solidFill>
              <w14:schemeClr w14:val="tx1"/>
            </w14:solidFill>
          </w14:textFill>
        </w:rPr>
        <w:t>洗车棚，</w:t>
      </w:r>
      <w:r>
        <w:rPr>
          <w:rFonts w:hint="eastAsia"/>
          <w:color w:val="000000" w:themeColor="text1"/>
          <w:szCs w:val="28"/>
          <w:lang w:val="en-US" w:eastAsia="zh-CN"/>
          <w14:textFill>
            <w14:solidFill>
              <w14:schemeClr w14:val="tx1"/>
            </w14:solidFill>
          </w14:textFill>
        </w:rPr>
        <w:t>站内卫生间、站内辅房、</w:t>
      </w:r>
      <w:r>
        <w:rPr>
          <w:rFonts w:hint="eastAsia"/>
          <w:color w:val="000000" w:themeColor="text1"/>
          <w:szCs w:val="28"/>
          <w:lang w:eastAsia="zh-CN"/>
          <w14:textFill>
            <w14:solidFill>
              <w14:schemeClr w14:val="tx1"/>
            </w14:solidFill>
          </w14:textFill>
        </w:rPr>
        <w:t>南面（围墙外）为民房；加油站西面紧邻</w:t>
      </w:r>
      <w:r>
        <w:rPr>
          <w:rFonts w:hint="eastAsia"/>
          <w:color w:val="000000" w:themeColor="text1"/>
          <w:szCs w:val="28"/>
          <w:lang w:val="en-US" w:eastAsia="zh-CN"/>
          <w14:textFill>
            <w14:solidFill>
              <w14:schemeClr w14:val="tx1"/>
            </w14:solidFill>
          </w14:textFill>
        </w:rPr>
        <w:t>文马</w:t>
      </w:r>
      <w:r>
        <w:rPr>
          <w:rFonts w:hint="eastAsia"/>
          <w:color w:val="000000" w:themeColor="text1"/>
          <w:szCs w:val="28"/>
          <w:lang w:eastAsia="zh-CN"/>
          <w14:textFill>
            <w14:solidFill>
              <w14:schemeClr w14:val="tx1"/>
            </w14:solidFill>
          </w14:textFill>
        </w:rPr>
        <w:t>公路，公路西侧为民房，公路旁有一组架空电力线路</w:t>
      </w:r>
      <w:r>
        <w:rPr>
          <w:rFonts w:hint="eastAsia"/>
          <w:color w:val="000000" w:themeColor="text1"/>
          <w:szCs w:val="28"/>
          <w:lang w:val="en-US" w:eastAsia="zh-CN"/>
          <w14:textFill>
            <w14:solidFill>
              <w14:schemeClr w14:val="tx1"/>
            </w14:solidFill>
          </w14:textFill>
        </w:rPr>
        <w:t>和架空通信线</w:t>
      </w:r>
      <w:r>
        <w:rPr>
          <w:rFonts w:hint="eastAsia"/>
          <w:color w:val="000000" w:themeColor="text1"/>
          <w:szCs w:val="28"/>
          <w:lang w:eastAsia="zh-CN"/>
          <w14:textFill>
            <w14:solidFill>
              <w14:schemeClr w14:val="tx1"/>
            </w14:solidFill>
          </w14:textFill>
        </w:rPr>
        <w:t>；加油站北面为民房和架空</w:t>
      </w:r>
      <w:r>
        <w:rPr>
          <w:rFonts w:hint="eastAsia"/>
          <w:color w:val="000000" w:themeColor="text1"/>
          <w:szCs w:val="28"/>
          <w:lang w:val="en-US" w:eastAsia="zh-CN"/>
          <w14:textFill>
            <w14:solidFill>
              <w14:schemeClr w14:val="tx1"/>
            </w14:solidFill>
          </w14:textFill>
        </w:rPr>
        <w:t>电力</w:t>
      </w:r>
      <w:r>
        <w:rPr>
          <w:rFonts w:hint="eastAsia"/>
          <w:color w:val="000000" w:themeColor="text1"/>
          <w:szCs w:val="28"/>
          <w:lang w:eastAsia="zh-CN"/>
          <w14:textFill>
            <w14:solidFill>
              <w14:schemeClr w14:val="tx1"/>
            </w14:solidFill>
          </w14:textFill>
        </w:rPr>
        <w:t>线路</w:t>
      </w:r>
      <w:r>
        <w:rPr>
          <w:rFonts w:hint="eastAsia"/>
          <w:color w:val="000000" w:themeColor="text1"/>
          <w:szCs w:val="28"/>
          <w:lang w:val="en-US" w:eastAsia="zh-CN"/>
          <w14:textFill>
            <w14:solidFill>
              <w14:schemeClr w14:val="tx1"/>
            </w14:solidFill>
          </w14:textFill>
        </w:rPr>
        <w:t>及架空通信线</w:t>
      </w:r>
      <w:r>
        <w:rPr>
          <w:rFonts w:hint="eastAsia"/>
          <w:color w:val="000000" w:themeColor="text1"/>
          <w:szCs w:val="28"/>
          <w:lang w:eastAsia="zh-CN"/>
          <w14:textFill>
            <w14:solidFill>
              <w14:schemeClr w14:val="tx1"/>
            </w14:solidFill>
          </w14:textFill>
        </w:rPr>
        <w:t>。加油站周边建构筑物加油站汽柴油设备的安全间距符合</w:t>
      </w:r>
      <w:r>
        <w:rPr>
          <w:rFonts w:hint="eastAsia"/>
          <w:color w:val="auto"/>
          <w:highlight w:val="none"/>
        </w:rPr>
        <w:t>《汽车加油加气加氢站技术标准》（GB50156-2021）</w:t>
      </w:r>
      <w:r>
        <w:rPr>
          <w:rFonts w:hint="eastAsia"/>
          <w:color w:val="000000" w:themeColor="text1"/>
          <w:szCs w:val="28"/>
          <w:lang w:eastAsia="zh-CN"/>
          <w14:textFill>
            <w14:solidFill>
              <w14:schemeClr w14:val="tx1"/>
            </w14:solidFill>
          </w14:textFill>
        </w:rPr>
        <w:t>的要求。加油站与周边建（构）筑物的安全距离描述如下：</w:t>
      </w:r>
    </w:p>
    <w:p w14:paraId="5E723BB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highlight w:val="yellow"/>
          <w:lang w:eastAsia="zh-CN"/>
          <w14:textFill>
            <w14:solidFill>
              <w14:schemeClr w14:val="tx1"/>
            </w14:solidFill>
          </w14:textFill>
        </w:rPr>
      </w:pPr>
      <w:r>
        <w:rPr>
          <w:rFonts w:hint="eastAsia"/>
          <w:color w:val="000000" w:themeColor="text1"/>
          <w:szCs w:val="28"/>
          <w:highlight w:val="none"/>
          <w:lang w:val="en-US" w:eastAsia="zh-CN"/>
          <w14:textFill>
            <w14:solidFill>
              <w14:schemeClr w14:val="tx1"/>
            </w14:solidFill>
          </w14:textFill>
        </w:rPr>
        <w:t>加油站</w:t>
      </w:r>
      <w:r>
        <w:rPr>
          <w:rFonts w:hint="eastAsia"/>
          <w:color w:val="000000" w:themeColor="text1"/>
          <w:szCs w:val="28"/>
          <w:highlight w:val="none"/>
          <w:lang w:eastAsia="zh-CN"/>
          <w14:textFill>
            <w14:solidFill>
              <w14:schemeClr w14:val="tx1"/>
            </w14:solidFill>
          </w14:textFill>
        </w:rPr>
        <w:t>东面民房至加油站埋地汽油罐、通气管管口、加油机的距离分别是10.9m、14m、3</w:t>
      </w:r>
      <w:r>
        <w:rPr>
          <w:rFonts w:hint="eastAsia"/>
          <w:color w:val="000000" w:themeColor="text1"/>
          <w:szCs w:val="28"/>
          <w:highlight w:val="none"/>
          <w:lang w:val="en-US" w:eastAsia="zh-CN"/>
          <w14:textFill>
            <w14:solidFill>
              <w14:schemeClr w14:val="tx1"/>
            </w14:solidFill>
          </w14:textFill>
        </w:rPr>
        <w:t>3</w:t>
      </w:r>
      <w:r>
        <w:rPr>
          <w:rFonts w:hint="eastAsia"/>
          <w:color w:val="000000" w:themeColor="text1"/>
          <w:szCs w:val="28"/>
          <w:highlight w:val="none"/>
          <w:lang w:eastAsia="zh-CN"/>
          <w14:textFill>
            <w14:solidFill>
              <w14:schemeClr w14:val="tx1"/>
            </w14:solidFill>
          </w14:textFill>
        </w:rPr>
        <w:t>m；距离加油站埋地柴油罐、通气管管口、加油机的距离分别是</w:t>
      </w:r>
      <w:r>
        <w:rPr>
          <w:rFonts w:hint="eastAsia"/>
          <w:color w:val="000000" w:themeColor="text1"/>
          <w:szCs w:val="28"/>
          <w:highlight w:val="none"/>
          <w:lang w:val="en-US" w:eastAsia="zh-CN"/>
          <w14:textFill>
            <w14:solidFill>
              <w14:schemeClr w14:val="tx1"/>
            </w14:solidFill>
          </w14:textFill>
        </w:rPr>
        <w:t>10</w:t>
      </w:r>
      <w:r>
        <w:rPr>
          <w:rFonts w:hint="eastAsia"/>
          <w:color w:val="000000" w:themeColor="text1"/>
          <w:szCs w:val="28"/>
          <w:highlight w:val="none"/>
          <w:lang w:eastAsia="zh-CN"/>
          <w14:textFill>
            <w14:solidFill>
              <w14:schemeClr w14:val="tx1"/>
            </w14:solidFill>
          </w14:textFill>
        </w:rPr>
        <w:t>.9m、</w:t>
      </w:r>
      <w:r>
        <w:rPr>
          <w:rFonts w:hint="eastAsia"/>
          <w:color w:val="000000" w:themeColor="text1"/>
          <w:szCs w:val="28"/>
          <w:highlight w:val="none"/>
          <w:lang w:val="en-US" w:eastAsia="zh-CN"/>
          <w14:textFill>
            <w14:solidFill>
              <w14:schemeClr w14:val="tx1"/>
            </w14:solidFill>
          </w14:textFill>
        </w:rPr>
        <w:t>14</w:t>
      </w:r>
      <w:r>
        <w:rPr>
          <w:rFonts w:hint="eastAsia"/>
          <w:color w:val="000000" w:themeColor="text1"/>
          <w:szCs w:val="28"/>
          <w:highlight w:val="none"/>
          <w:lang w:eastAsia="zh-CN"/>
          <w14:textFill>
            <w14:solidFill>
              <w14:schemeClr w14:val="tx1"/>
            </w14:solidFill>
          </w14:textFill>
        </w:rPr>
        <w:t>m、</w:t>
      </w:r>
      <w:r>
        <w:rPr>
          <w:rFonts w:hint="eastAsia"/>
          <w:color w:val="000000" w:themeColor="text1"/>
          <w:szCs w:val="28"/>
          <w:highlight w:val="none"/>
          <w:lang w:val="en-US" w:eastAsia="zh-CN"/>
          <w14:textFill>
            <w14:solidFill>
              <w14:schemeClr w14:val="tx1"/>
            </w14:solidFill>
          </w14:textFill>
        </w:rPr>
        <w:t>41</w:t>
      </w:r>
      <w:r>
        <w:rPr>
          <w:rFonts w:hint="eastAsia"/>
          <w:color w:val="000000" w:themeColor="text1"/>
          <w:szCs w:val="28"/>
          <w:highlight w:val="none"/>
          <w:lang w:eastAsia="zh-CN"/>
          <w14:textFill>
            <w14:solidFill>
              <w14:schemeClr w14:val="tx1"/>
            </w14:solidFill>
          </w14:textFill>
        </w:rPr>
        <w:t>m。</w:t>
      </w:r>
    </w:p>
    <w:p w14:paraId="279E6B2E">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东面架空</w:t>
      </w:r>
      <w:r>
        <w:rPr>
          <w:rFonts w:hint="eastAsia"/>
          <w:color w:val="000000" w:themeColor="text1"/>
          <w:szCs w:val="28"/>
          <w:lang w:val="en-US" w:eastAsia="zh-CN"/>
          <w14:textFill>
            <w14:solidFill>
              <w14:schemeClr w14:val="tx1"/>
            </w14:solidFill>
          </w14:textFill>
        </w:rPr>
        <w:t>电力</w:t>
      </w:r>
      <w:r>
        <w:rPr>
          <w:rFonts w:hint="eastAsia"/>
          <w:color w:val="000000" w:themeColor="text1"/>
          <w:szCs w:val="28"/>
          <w:lang w:eastAsia="zh-CN"/>
          <w14:textFill>
            <w14:solidFill>
              <w14:schemeClr w14:val="tx1"/>
            </w14:solidFill>
          </w14:textFill>
        </w:rPr>
        <w:t>线</w:t>
      </w:r>
      <w:r>
        <w:rPr>
          <w:rFonts w:hint="eastAsia"/>
          <w:highlight w:val="none"/>
        </w:rPr>
        <w:t>垂直投影</w:t>
      </w:r>
      <w:r>
        <w:rPr>
          <w:rFonts w:hint="eastAsia"/>
          <w:highlight w:val="none"/>
          <w:lang w:eastAsia="zh-CN"/>
        </w:rPr>
        <w:t>与</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6.7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32</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40</w:t>
      </w:r>
      <w:r>
        <w:rPr>
          <w:rFonts w:hint="eastAsia"/>
          <w:color w:val="000000" w:themeColor="text1"/>
          <w:szCs w:val="28"/>
          <w:lang w:eastAsia="zh-CN"/>
          <w14:textFill>
            <w14:solidFill>
              <w14:schemeClr w14:val="tx1"/>
            </w14:solidFill>
          </w14:textFill>
        </w:rPr>
        <w:t>m。</w:t>
      </w:r>
    </w:p>
    <w:p w14:paraId="75D0C91B">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东面架空</w:t>
      </w:r>
      <w:r>
        <w:rPr>
          <w:rFonts w:hint="eastAsia"/>
          <w:color w:val="000000" w:themeColor="text1"/>
          <w:szCs w:val="28"/>
          <w:lang w:val="en-US" w:eastAsia="zh-CN"/>
          <w14:textFill>
            <w14:solidFill>
              <w14:schemeClr w14:val="tx1"/>
            </w14:solidFill>
          </w14:textFill>
        </w:rPr>
        <w:t>通信</w:t>
      </w:r>
      <w:r>
        <w:rPr>
          <w:rFonts w:hint="eastAsia"/>
          <w:color w:val="000000" w:themeColor="text1"/>
          <w:szCs w:val="28"/>
          <w:lang w:eastAsia="zh-CN"/>
          <w14:textFill>
            <w14:solidFill>
              <w14:schemeClr w14:val="tx1"/>
            </w14:solidFill>
          </w14:textFill>
        </w:rPr>
        <w:t>线</w:t>
      </w:r>
      <w:r>
        <w:rPr>
          <w:rFonts w:hint="eastAsia"/>
          <w:highlight w:val="none"/>
        </w:rPr>
        <w:t>垂直投影</w:t>
      </w:r>
      <w:r>
        <w:rPr>
          <w:rFonts w:hint="eastAsia"/>
          <w:highlight w:val="none"/>
          <w:lang w:eastAsia="zh-CN"/>
        </w:rPr>
        <w:t>与</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5.7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28</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6.9</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36</w:t>
      </w:r>
      <w:r>
        <w:rPr>
          <w:rFonts w:hint="eastAsia"/>
          <w:color w:val="000000" w:themeColor="text1"/>
          <w:szCs w:val="28"/>
          <w:lang w:eastAsia="zh-CN"/>
          <w14:textFill>
            <w14:solidFill>
              <w14:schemeClr w14:val="tx1"/>
            </w14:solidFill>
          </w14:textFill>
        </w:rPr>
        <w:t>m。</w:t>
      </w:r>
    </w:p>
    <w:p w14:paraId="7DCEF54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南面民房至加油站埋地汽油罐、通气管管口、加油机的距离分别是3</w:t>
      </w:r>
      <w:r>
        <w:rPr>
          <w:rFonts w:hint="eastAsia"/>
          <w:color w:val="000000" w:themeColor="text1"/>
          <w:szCs w:val="28"/>
          <w:lang w:val="en-US" w:eastAsia="zh-CN"/>
          <w14:textFill>
            <w14:solidFill>
              <w14:schemeClr w14:val="tx1"/>
            </w14:solidFill>
          </w14:textFill>
        </w:rPr>
        <w:t>5</w:t>
      </w:r>
      <w:r>
        <w:rPr>
          <w:rFonts w:hint="eastAsia"/>
          <w:color w:val="000000" w:themeColor="text1"/>
          <w:szCs w:val="28"/>
          <w:lang w:eastAsia="zh-CN"/>
          <w14:textFill>
            <w14:solidFill>
              <w14:schemeClr w14:val="tx1"/>
            </w14:solidFill>
          </w14:textFill>
        </w:rPr>
        <w:t>m、3</w:t>
      </w:r>
      <w:r>
        <w:rPr>
          <w:rFonts w:hint="eastAsia"/>
          <w:color w:val="000000" w:themeColor="text1"/>
          <w:szCs w:val="28"/>
          <w:lang w:val="en-US" w:eastAsia="zh-CN"/>
          <w14:textFill>
            <w14:solidFill>
              <w14:schemeClr w14:val="tx1"/>
            </w14:solidFill>
          </w14:textFill>
        </w:rPr>
        <w:t>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22</w:t>
      </w:r>
      <w:r>
        <w:rPr>
          <w:rFonts w:hint="eastAsia"/>
          <w:color w:val="000000" w:themeColor="text1"/>
          <w:szCs w:val="28"/>
          <w:lang w:eastAsia="zh-CN"/>
          <w14:textFill>
            <w14:solidFill>
              <w14:schemeClr w14:val="tx1"/>
            </w14:solidFill>
          </w14:textFill>
        </w:rPr>
        <w:t>m；距离加油站埋地柴油罐、通气管管口、加油机的距离分别是3</w:t>
      </w:r>
      <w:r>
        <w:rPr>
          <w:rFonts w:hint="eastAsia"/>
          <w:color w:val="000000" w:themeColor="text1"/>
          <w:szCs w:val="28"/>
          <w:lang w:val="en-US" w:eastAsia="zh-CN"/>
          <w14:textFill>
            <w14:solidFill>
              <w14:schemeClr w14:val="tx1"/>
            </w14:solidFill>
          </w14:textFill>
        </w:rPr>
        <w:t>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22</w:t>
      </w:r>
      <w:r>
        <w:rPr>
          <w:rFonts w:hint="eastAsia"/>
          <w:color w:val="000000" w:themeColor="text1"/>
          <w:szCs w:val="28"/>
          <w:lang w:eastAsia="zh-CN"/>
          <w14:textFill>
            <w14:solidFill>
              <w14:schemeClr w14:val="tx1"/>
            </w14:solidFill>
          </w14:textFill>
        </w:rPr>
        <w:t>m。</w:t>
      </w:r>
    </w:p>
    <w:p w14:paraId="43DD0C1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南面</w:t>
      </w:r>
      <w:r>
        <w:rPr>
          <w:rFonts w:hint="eastAsia"/>
          <w:color w:val="000000" w:themeColor="text1"/>
          <w:szCs w:val="28"/>
          <w:lang w:val="en-US" w:eastAsia="zh-CN"/>
          <w14:textFill>
            <w14:solidFill>
              <w14:schemeClr w14:val="tx1"/>
            </w14:solidFill>
          </w14:textFill>
        </w:rPr>
        <w:t>辅房（发配电房、厨房等）</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11.7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11.3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19</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8.7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11.3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27</w:t>
      </w:r>
      <w:r>
        <w:rPr>
          <w:rFonts w:hint="eastAsia"/>
          <w:color w:val="000000" w:themeColor="text1"/>
          <w:szCs w:val="28"/>
          <w:lang w:eastAsia="zh-CN"/>
          <w14:textFill>
            <w14:solidFill>
              <w14:schemeClr w14:val="tx1"/>
            </w14:solidFill>
          </w14:textFill>
        </w:rPr>
        <w:t>m。</w:t>
      </w:r>
    </w:p>
    <w:p w14:paraId="770BD52A">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南面</w:t>
      </w:r>
      <w:r>
        <w:rPr>
          <w:rFonts w:hint="eastAsia"/>
          <w:color w:val="000000" w:themeColor="text1"/>
          <w:szCs w:val="28"/>
          <w:lang w:val="en-US" w:eastAsia="zh-CN"/>
          <w14:textFill>
            <w14:solidFill>
              <w14:schemeClr w14:val="tx1"/>
            </w14:solidFill>
          </w14:textFill>
        </w:rPr>
        <w:t>站内卫生间</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31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16</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28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16</w:t>
      </w:r>
      <w:r>
        <w:rPr>
          <w:rFonts w:hint="eastAsia"/>
          <w:color w:val="000000" w:themeColor="text1"/>
          <w:szCs w:val="28"/>
          <w:lang w:eastAsia="zh-CN"/>
          <w14:textFill>
            <w14:solidFill>
              <w14:schemeClr w14:val="tx1"/>
            </w14:solidFill>
          </w14:textFill>
        </w:rPr>
        <w:t>m。</w:t>
      </w:r>
    </w:p>
    <w:p w14:paraId="03936947">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南面洗车棚至加油站埋地汽油罐、通气管管口、加油机的距离分别是</w:t>
      </w:r>
      <w:r>
        <w:rPr>
          <w:rFonts w:hint="eastAsia"/>
          <w:color w:val="000000" w:themeColor="text1"/>
          <w:szCs w:val="28"/>
          <w:lang w:val="en-US" w:eastAsia="zh-CN"/>
          <w14:textFill>
            <w14:solidFill>
              <w14:schemeClr w14:val="tx1"/>
            </w14:solidFill>
          </w14:textFill>
        </w:rPr>
        <w:t>28</w:t>
      </w:r>
      <w:r>
        <w:rPr>
          <w:rFonts w:hint="eastAsia"/>
          <w:color w:val="000000" w:themeColor="text1"/>
          <w:szCs w:val="28"/>
          <w:lang w:eastAsia="zh-CN"/>
          <w14:textFill>
            <w14:solidFill>
              <w14:schemeClr w14:val="tx1"/>
            </w14:solidFill>
          </w14:textFill>
        </w:rPr>
        <w:t>m、30m、</w:t>
      </w:r>
      <w:r>
        <w:rPr>
          <w:rFonts w:hint="eastAsia"/>
          <w:color w:val="000000" w:themeColor="text1"/>
          <w:szCs w:val="28"/>
          <w:lang w:val="en-US" w:eastAsia="zh-CN"/>
          <w14:textFill>
            <w14:solidFill>
              <w14:schemeClr w14:val="tx1"/>
            </w14:solidFill>
          </w14:textFill>
        </w:rPr>
        <w:t>13.4</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25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13.4</w:t>
      </w:r>
      <w:r>
        <w:rPr>
          <w:rFonts w:hint="eastAsia"/>
          <w:color w:val="000000" w:themeColor="text1"/>
          <w:szCs w:val="28"/>
          <w:lang w:eastAsia="zh-CN"/>
          <w14:textFill>
            <w14:solidFill>
              <w14:schemeClr w14:val="tx1"/>
            </w14:solidFill>
          </w14:textFill>
        </w:rPr>
        <w:t>m。</w:t>
      </w:r>
    </w:p>
    <w:p w14:paraId="7B39BE12">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西面民房至加油站埋地气油罐、通气管管口、加油机距离分别是</w:t>
      </w:r>
      <w:r>
        <w:rPr>
          <w:rFonts w:hint="eastAsia"/>
          <w:color w:val="000000" w:themeColor="text1"/>
          <w:szCs w:val="28"/>
          <w:lang w:val="en-US" w:eastAsia="zh-CN"/>
          <w14:textFill>
            <w14:solidFill>
              <w14:schemeClr w14:val="tx1"/>
            </w14:solidFill>
          </w14:textFill>
        </w:rPr>
        <w:t>45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48</w:t>
      </w:r>
      <w:r>
        <w:rPr>
          <w:rFonts w:hint="eastAsia"/>
          <w:color w:val="000000" w:themeColor="text1"/>
          <w:szCs w:val="28"/>
          <w:lang w:eastAsia="zh-CN"/>
          <w14:textFill>
            <w14:solidFill>
              <w14:schemeClr w14:val="tx1"/>
            </w14:solidFill>
          </w14:textFill>
        </w:rPr>
        <w:t>m、2</w:t>
      </w:r>
      <w:r>
        <w:rPr>
          <w:rFonts w:hint="eastAsia"/>
          <w:color w:val="000000" w:themeColor="text1"/>
          <w:szCs w:val="28"/>
          <w:lang w:val="en-US" w:eastAsia="zh-CN"/>
          <w14:textFill>
            <w14:solidFill>
              <w14:schemeClr w14:val="tx1"/>
            </w14:solidFill>
          </w14:textFill>
        </w:rPr>
        <w:t>9</w:t>
      </w:r>
      <w:r>
        <w:rPr>
          <w:rFonts w:hint="eastAsia"/>
          <w:color w:val="000000" w:themeColor="text1"/>
          <w:szCs w:val="28"/>
          <w:lang w:eastAsia="zh-CN"/>
          <w14:textFill>
            <w14:solidFill>
              <w14:schemeClr w14:val="tx1"/>
            </w14:solidFill>
          </w14:textFill>
        </w:rPr>
        <w:t>m；距离加油站埋地柴油罐、通气管管口、加油机的距离分别是45m、</w:t>
      </w:r>
      <w:r>
        <w:rPr>
          <w:rFonts w:hint="eastAsia"/>
          <w:color w:val="000000" w:themeColor="text1"/>
          <w:szCs w:val="28"/>
          <w:lang w:val="en-US" w:eastAsia="zh-CN"/>
          <w14:textFill>
            <w14:solidFill>
              <w14:schemeClr w14:val="tx1"/>
            </w14:solidFill>
          </w14:textFill>
        </w:rPr>
        <w:t>48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21</w:t>
      </w:r>
      <w:r>
        <w:rPr>
          <w:rFonts w:hint="eastAsia"/>
          <w:color w:val="000000" w:themeColor="text1"/>
          <w:szCs w:val="28"/>
          <w:lang w:eastAsia="zh-CN"/>
          <w14:textFill>
            <w14:solidFill>
              <w14:schemeClr w14:val="tx1"/>
            </w14:solidFill>
          </w14:textFill>
        </w:rPr>
        <w:t>m。</w:t>
      </w:r>
    </w:p>
    <w:p w14:paraId="794390B9">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西面公路至加油站埋地汽油罐、通气管管口、加油机的距离分别是3</w:t>
      </w:r>
      <w:r>
        <w:rPr>
          <w:rFonts w:hint="eastAsia"/>
          <w:color w:val="000000" w:themeColor="text1"/>
          <w:szCs w:val="28"/>
          <w:lang w:val="en-US" w:eastAsia="zh-CN"/>
          <w14:textFill>
            <w14:solidFill>
              <w14:schemeClr w14:val="tx1"/>
            </w14:solidFill>
          </w14:textFill>
        </w:rPr>
        <w:t>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18.5</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34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10.5</w:t>
      </w:r>
      <w:r>
        <w:rPr>
          <w:rFonts w:hint="eastAsia"/>
          <w:color w:val="000000" w:themeColor="text1"/>
          <w:szCs w:val="28"/>
          <w:lang w:eastAsia="zh-CN"/>
          <w14:textFill>
            <w14:solidFill>
              <w14:schemeClr w14:val="tx1"/>
            </w14:solidFill>
          </w14:textFill>
        </w:rPr>
        <w:t>m。</w:t>
      </w:r>
    </w:p>
    <w:p w14:paraId="10D6841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西面架空电力线</w:t>
      </w:r>
      <w:r>
        <w:rPr>
          <w:rFonts w:hint="eastAsia"/>
          <w:highlight w:val="none"/>
        </w:rPr>
        <w:t>垂直投影</w:t>
      </w:r>
      <w:r>
        <w:rPr>
          <w:rFonts w:hint="eastAsia"/>
          <w:color w:val="000000" w:themeColor="text1"/>
          <w:szCs w:val="28"/>
          <w:lang w:eastAsia="zh-CN"/>
          <w14:textFill>
            <w14:solidFill>
              <w14:schemeClr w14:val="tx1"/>
            </w14:solidFill>
          </w14:textFill>
        </w:rPr>
        <w:t>至加油站汽油罐、通气管管口、加油机的距离分别是</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21.5</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13.5</w:t>
      </w:r>
      <w:r>
        <w:rPr>
          <w:rFonts w:hint="eastAsia"/>
          <w:color w:val="000000" w:themeColor="text1"/>
          <w:szCs w:val="28"/>
          <w:lang w:eastAsia="zh-CN"/>
          <w14:textFill>
            <w14:solidFill>
              <w14:schemeClr w14:val="tx1"/>
            </w14:solidFill>
          </w14:textFill>
        </w:rPr>
        <w:t>m。</w:t>
      </w:r>
    </w:p>
    <w:p w14:paraId="4B69E25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西面架空</w:t>
      </w:r>
      <w:r>
        <w:rPr>
          <w:rFonts w:hint="eastAsia"/>
          <w:color w:val="000000" w:themeColor="text1"/>
          <w:szCs w:val="28"/>
          <w:lang w:val="en-US" w:eastAsia="zh-CN"/>
          <w14:textFill>
            <w14:solidFill>
              <w14:schemeClr w14:val="tx1"/>
            </w14:solidFill>
          </w14:textFill>
        </w:rPr>
        <w:t>通信</w:t>
      </w:r>
      <w:r>
        <w:rPr>
          <w:rFonts w:hint="eastAsia"/>
          <w:color w:val="000000" w:themeColor="text1"/>
          <w:szCs w:val="28"/>
          <w:lang w:eastAsia="zh-CN"/>
          <w14:textFill>
            <w14:solidFill>
              <w14:schemeClr w14:val="tx1"/>
            </w14:solidFill>
          </w14:textFill>
        </w:rPr>
        <w:t>线</w:t>
      </w:r>
      <w:r>
        <w:rPr>
          <w:rFonts w:hint="eastAsia"/>
          <w:highlight w:val="none"/>
        </w:rPr>
        <w:t>垂直投影</w:t>
      </w:r>
      <w:r>
        <w:rPr>
          <w:rFonts w:hint="eastAsia"/>
          <w:color w:val="000000" w:themeColor="text1"/>
          <w:szCs w:val="28"/>
          <w:lang w:eastAsia="zh-CN"/>
          <w14:textFill>
            <w14:solidFill>
              <w14:schemeClr w14:val="tx1"/>
            </w14:solidFill>
          </w14:textFill>
        </w:rPr>
        <w:t>至加油站汽油罐、通气管管口、加油机的距离分别是</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21.5</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13.5</w:t>
      </w:r>
      <w:r>
        <w:rPr>
          <w:rFonts w:hint="eastAsia"/>
          <w:color w:val="000000" w:themeColor="text1"/>
          <w:szCs w:val="28"/>
          <w:lang w:eastAsia="zh-CN"/>
          <w14:textFill>
            <w14:solidFill>
              <w14:schemeClr w14:val="tx1"/>
            </w14:solidFill>
          </w14:textFill>
        </w:rPr>
        <w:t>m。</w:t>
      </w:r>
    </w:p>
    <w:p w14:paraId="442C713E">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北面民房至加油站埋地气油罐、通气管管口、加油机距离分别为</w:t>
      </w:r>
      <w:r>
        <w:rPr>
          <w:rFonts w:hint="eastAsia"/>
          <w:color w:val="000000" w:themeColor="text1"/>
          <w:szCs w:val="28"/>
          <w:lang w:val="en-US" w:eastAsia="zh-CN"/>
          <w14:textFill>
            <w14:solidFill>
              <w14:schemeClr w14:val="tx1"/>
            </w14:solidFill>
          </w14:textFill>
        </w:rPr>
        <w:t>12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20.4</w:t>
      </w:r>
      <w:r>
        <w:rPr>
          <w:rFonts w:hint="eastAsia"/>
          <w:color w:val="000000" w:themeColor="text1"/>
          <w:szCs w:val="28"/>
          <w:lang w:eastAsia="zh-CN"/>
          <w14:textFill>
            <w14:solidFill>
              <w14:schemeClr w14:val="tx1"/>
            </w14:solidFill>
          </w14:textFill>
        </w:rPr>
        <w:t>m；距离加油站埋地柴油罐、通气管管口、加油机距离分别为</w:t>
      </w:r>
      <w:r>
        <w:rPr>
          <w:rFonts w:hint="eastAsia"/>
          <w:color w:val="000000" w:themeColor="text1"/>
          <w:szCs w:val="28"/>
          <w:lang w:val="en-US" w:eastAsia="zh-CN"/>
          <w14:textFill>
            <w14:solidFill>
              <w14:schemeClr w14:val="tx1"/>
            </w14:solidFill>
          </w14:textFill>
        </w:rPr>
        <w:t>18.5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18</w:t>
      </w:r>
      <w:r>
        <w:rPr>
          <w:rFonts w:hint="eastAsia"/>
          <w:color w:val="000000" w:themeColor="text1"/>
          <w:szCs w:val="28"/>
          <w:lang w:eastAsia="zh-CN"/>
          <w14:textFill>
            <w14:solidFill>
              <w14:schemeClr w14:val="tx1"/>
            </w14:solidFill>
          </w14:textFill>
        </w:rPr>
        <w:t>m、2</w:t>
      </w:r>
      <w:r>
        <w:rPr>
          <w:rFonts w:hint="eastAsia"/>
          <w:color w:val="000000" w:themeColor="text1"/>
          <w:szCs w:val="28"/>
          <w:lang w:val="en-US" w:eastAsia="zh-CN"/>
          <w14:textFill>
            <w14:solidFill>
              <w14:schemeClr w14:val="tx1"/>
            </w14:solidFill>
          </w14:textFill>
        </w:rPr>
        <w:t>0.4</w:t>
      </w:r>
      <w:r>
        <w:rPr>
          <w:rFonts w:hint="eastAsia"/>
          <w:color w:val="000000" w:themeColor="text1"/>
          <w:szCs w:val="28"/>
          <w:lang w:eastAsia="zh-CN"/>
          <w14:textFill>
            <w14:solidFill>
              <w14:schemeClr w14:val="tx1"/>
            </w14:solidFill>
          </w14:textFill>
        </w:rPr>
        <w:t>m。</w:t>
      </w:r>
    </w:p>
    <w:p w14:paraId="4DD2F7C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北面架空</w:t>
      </w:r>
      <w:r>
        <w:rPr>
          <w:rFonts w:hint="eastAsia"/>
          <w:color w:val="000000" w:themeColor="text1"/>
          <w:szCs w:val="28"/>
          <w:lang w:val="en-US" w:eastAsia="zh-CN"/>
          <w14:textFill>
            <w14:solidFill>
              <w14:schemeClr w14:val="tx1"/>
            </w14:solidFill>
          </w14:textFill>
        </w:rPr>
        <w:t>电力</w:t>
      </w:r>
      <w:r>
        <w:rPr>
          <w:rFonts w:hint="eastAsia"/>
          <w:color w:val="000000" w:themeColor="text1"/>
          <w:szCs w:val="28"/>
          <w:lang w:eastAsia="zh-CN"/>
          <w14:textFill>
            <w14:solidFill>
              <w14:schemeClr w14:val="tx1"/>
            </w14:solidFill>
          </w14:textFill>
        </w:rPr>
        <w:t>线</w:t>
      </w:r>
      <w:r>
        <w:rPr>
          <w:rFonts w:hint="eastAsia"/>
          <w:highlight w:val="none"/>
        </w:rPr>
        <w:t>垂直投影</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11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19.4</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17.5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19.4</w:t>
      </w:r>
      <w:r>
        <w:rPr>
          <w:rFonts w:hint="eastAsia"/>
          <w:color w:val="000000" w:themeColor="text1"/>
          <w:szCs w:val="28"/>
          <w:lang w:eastAsia="zh-CN"/>
          <w14:textFill>
            <w14:solidFill>
              <w14:schemeClr w14:val="tx1"/>
            </w14:solidFill>
          </w14:textFill>
        </w:rPr>
        <w:t>m。</w:t>
      </w:r>
    </w:p>
    <w:p w14:paraId="5A11713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北面架空</w:t>
      </w:r>
      <w:r>
        <w:rPr>
          <w:rFonts w:hint="eastAsia"/>
          <w:color w:val="000000" w:themeColor="text1"/>
          <w:szCs w:val="28"/>
          <w:lang w:val="en-US" w:eastAsia="zh-CN"/>
          <w14:textFill>
            <w14:solidFill>
              <w14:schemeClr w14:val="tx1"/>
            </w14:solidFill>
          </w14:textFill>
        </w:rPr>
        <w:t>通信</w:t>
      </w:r>
      <w:r>
        <w:rPr>
          <w:rFonts w:hint="eastAsia"/>
          <w:color w:val="000000" w:themeColor="text1"/>
          <w:szCs w:val="28"/>
          <w:lang w:eastAsia="zh-CN"/>
          <w14:textFill>
            <w14:solidFill>
              <w14:schemeClr w14:val="tx1"/>
            </w14:solidFill>
          </w14:textFill>
        </w:rPr>
        <w:t>线</w:t>
      </w:r>
      <w:r>
        <w:rPr>
          <w:rFonts w:hint="eastAsia"/>
          <w:highlight w:val="none"/>
        </w:rPr>
        <w:t>垂直投影</w:t>
      </w:r>
      <w:r>
        <w:rPr>
          <w:rFonts w:hint="eastAsia"/>
          <w:color w:val="000000" w:themeColor="text1"/>
          <w:szCs w:val="28"/>
          <w:lang w:eastAsia="zh-CN"/>
          <w14:textFill>
            <w14:solidFill>
              <w14:schemeClr w14:val="tx1"/>
            </w14:solidFill>
          </w14:textFill>
        </w:rPr>
        <w:t>至加油站埋地汽油罐、通气管管口、加油机的距离分别是</w:t>
      </w:r>
      <w:r>
        <w:rPr>
          <w:rFonts w:hint="eastAsia"/>
          <w:color w:val="000000" w:themeColor="text1"/>
          <w:szCs w:val="28"/>
          <w:lang w:val="en-US" w:eastAsia="zh-CN"/>
          <w14:textFill>
            <w14:solidFill>
              <w14:schemeClr w14:val="tx1"/>
            </w14:solidFill>
          </w14:textFill>
        </w:rPr>
        <w:t>11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19.4</w:t>
      </w:r>
      <w:r>
        <w:rPr>
          <w:rFonts w:hint="eastAsia"/>
          <w:color w:val="000000" w:themeColor="text1"/>
          <w:szCs w:val="28"/>
          <w:lang w:eastAsia="zh-CN"/>
          <w14:textFill>
            <w14:solidFill>
              <w14:schemeClr w14:val="tx1"/>
            </w14:solidFill>
          </w14:textFill>
        </w:rPr>
        <w:t>m；距离加油站埋地柴油罐、通气管管口、加油机的距离分别是</w:t>
      </w:r>
      <w:r>
        <w:rPr>
          <w:rFonts w:hint="eastAsia"/>
          <w:color w:val="000000" w:themeColor="text1"/>
          <w:szCs w:val="28"/>
          <w:lang w:val="en-US" w:eastAsia="zh-CN"/>
          <w14:textFill>
            <w14:solidFill>
              <w14:schemeClr w14:val="tx1"/>
            </w14:solidFill>
          </w14:textFill>
        </w:rPr>
        <w:t>17.5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19.4</w:t>
      </w:r>
      <w:r>
        <w:rPr>
          <w:rFonts w:hint="eastAsia"/>
          <w:color w:val="000000" w:themeColor="text1"/>
          <w:szCs w:val="28"/>
          <w:lang w:eastAsia="zh-CN"/>
          <w14:textFill>
            <w14:solidFill>
              <w14:schemeClr w14:val="tx1"/>
            </w14:solidFill>
          </w14:textFill>
        </w:rPr>
        <w:t>m。</w:t>
      </w:r>
    </w:p>
    <w:p w14:paraId="6A208E51">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（2）项目与周边建构筑物距离</w:t>
      </w:r>
    </w:p>
    <w:p w14:paraId="7AB83A74">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加油站周边环境情况，见图2-2。汽油设备与站外建（构）筑物的安全距离见表2-1；柴油设备与站外建（构）筑物的安全距离见表2-2。</w:t>
      </w:r>
    </w:p>
    <w:p w14:paraId="7E70A126">
      <w:pPr>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2974340</wp:posOffset>
                </wp:positionH>
                <wp:positionV relativeFrom="paragraph">
                  <wp:posOffset>1259205</wp:posOffset>
                </wp:positionV>
                <wp:extent cx="685800" cy="361950"/>
                <wp:effectExtent l="6350" t="6350" r="8890" b="408940"/>
                <wp:wrapNone/>
                <wp:docPr id="2"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43240"/>
                            <a:gd name="adj2" fmla="val 153157"/>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D28BD4">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234.2pt;margin-top:99.15pt;height:28.5pt;width:54pt;z-index:251681792;v-text-anchor:middle;mso-width-relative:page;mso-height-relative:page;" filled="f" stroked="t" coordsize="21600,21600" o:gfxdata="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Lnt&#10;7PHYAAAACwEAAA8AAAAAAAAAAQAgAAAAIgAAAGRycy9kb3ducmV2LnhtbFBLAQIUABQAAAAIAIdO&#10;4kBXZ2lezgIAAHEFAAAOAAAAAAAAAAEAIAAAACcBAABkcnMvZTJvRG9jLnhtbFBLBQYAAAAABgAG&#10;AFkBAABnBgAAAAA=&#10;" adj="1460,43882,14400">
                <v:fill on="f" focussize="0,0"/>
                <v:stroke weight="1pt" color="#FF0000 [3204]" miterlimit="8" joinstyle="miter"/>
                <v:imagedata o:title=""/>
                <o:lock v:ext="edit" aspectratio="f"/>
                <v:textbox>
                  <w:txbxContent>
                    <w:p w14:paraId="25D28BD4">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736600</wp:posOffset>
                </wp:positionH>
                <wp:positionV relativeFrom="paragraph">
                  <wp:posOffset>1369695</wp:posOffset>
                </wp:positionV>
                <wp:extent cx="976630" cy="361950"/>
                <wp:effectExtent l="6350" t="6350" r="586740" b="332740"/>
                <wp:wrapNone/>
                <wp:docPr id="24" name="对话气泡: 圆角矩形 9"/>
                <wp:cNvGraphicFramePr/>
                <a:graphic xmlns:a="http://schemas.openxmlformats.org/drawingml/2006/main">
                  <a:graphicData uri="http://schemas.microsoft.com/office/word/2010/wordprocessingShape">
                    <wps:wsp>
                      <wps:cNvSpPr/>
                      <wps:spPr>
                        <a:xfrm>
                          <a:off x="0" y="0"/>
                          <a:ext cx="976630" cy="361950"/>
                        </a:xfrm>
                        <a:prstGeom prst="wedgeRoundRectCallout">
                          <a:avLst>
                            <a:gd name="adj1" fmla="val 103706"/>
                            <a:gd name="adj2" fmla="val 135087"/>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90E79D">
                            <w:pPr>
                              <w:spacing w:line="240" w:lineRule="auto"/>
                              <w:ind w:firstLine="0" w:firstLineChars="0"/>
                              <w:jc w:val="both"/>
                              <w:rPr>
                                <w:rFonts w:hint="default" w:eastAsia="宋体"/>
                                <w:color w:val="FF0000"/>
                                <w:lang w:val="en-US" w:eastAsia="zh-CN"/>
                              </w:rPr>
                            </w:pPr>
                            <w:r>
                              <w:rPr>
                                <w:rFonts w:hint="eastAsia"/>
                                <w:color w:val="FF0000"/>
                                <w:lang w:val="en-US" w:eastAsia="zh-CN"/>
                              </w:rPr>
                              <w:t>文马公路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58pt;margin-top:107.85pt;height:28.5pt;width:76.9pt;z-index:251664384;v-text-anchor:middle;mso-width-relative:page;mso-height-relative:page;" filled="f" stroked="t" coordsize="21600,21600" o:gfxdata="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SR/jHdoAAAALAQAADwAAAAAAAAABACAAAAAiAAAAZHJzL2Rvd25yZXYueG1sUEsBAhQAFAAAAAgA&#10;h07iQOpCp0/OAgAAcgUAAA4AAAAAAAAAAQAgAAAAKQEAAGRycy9lMm9Eb2MueG1sUEsFBgAAAAAG&#10;AAYAWQEAAGkGAAAAAA==&#10;" adj="33200,39979,14400">
                <v:fill on="f" focussize="0,0"/>
                <v:stroke weight="1pt" color="#FF0000 [3204]" miterlimit="8" joinstyle="miter"/>
                <v:imagedata o:title=""/>
                <o:lock v:ext="edit" aspectratio="f"/>
                <v:textbox>
                  <w:txbxContent>
                    <w:p w14:paraId="4C90E79D">
                      <w:pPr>
                        <w:spacing w:line="240" w:lineRule="auto"/>
                        <w:ind w:firstLine="0" w:firstLineChars="0"/>
                        <w:jc w:val="both"/>
                        <w:rPr>
                          <w:rFonts w:hint="default" w:eastAsia="宋体"/>
                          <w:color w:val="FF0000"/>
                          <w:lang w:val="en-US" w:eastAsia="zh-CN"/>
                        </w:rPr>
                      </w:pPr>
                      <w:r>
                        <w:rPr>
                          <w:rFonts w:hint="eastAsia"/>
                          <w:color w:val="FF0000"/>
                          <w:lang w:val="en-US" w:eastAsia="zh-CN"/>
                        </w:rPr>
                        <w:t>文马公路</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1056005</wp:posOffset>
                </wp:positionH>
                <wp:positionV relativeFrom="paragraph">
                  <wp:posOffset>1993900</wp:posOffset>
                </wp:positionV>
                <wp:extent cx="685800" cy="361950"/>
                <wp:effectExtent l="6350" t="6350" r="450850" b="12700"/>
                <wp:wrapNone/>
                <wp:docPr id="10"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06759"/>
                            <a:gd name="adj2" fmla="val 10701"/>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D94704">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83.15pt;margin-top:157pt;height:28.5pt;width:54pt;z-index:251678720;v-text-anchor:middle;mso-width-relative:page;mso-height-relative:page;" filled="f" stroked="t" coordsize="21600,21600" o:gfxdata="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DRAyCW1AAA&#10;AAsBAAAPAAAAAAAAAAEAIAAAACIAAABkcnMvZG93bnJldi54bWxQSwECFAAUAAAACACHTuJAFpSn&#10;AM0CAABxBQAADgAAAAAAAAABACAAAAAjAQAAZHJzL2Uyb0RvYy54bWxQSwUGAAAAAAYABgBZAQAA&#10;YgYAAAAA&#10;" adj="33860,13111,14400">
                <v:fill on="f" focussize="0,0"/>
                <v:stroke weight="1pt" color="#FF0000 [3204]" miterlimit="8" joinstyle="miter"/>
                <v:imagedata o:title=""/>
                <o:lock v:ext="edit" aspectratio="f"/>
                <v:textbox>
                  <w:txbxContent>
                    <w:p w14:paraId="62D94704">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2004060</wp:posOffset>
                </wp:positionH>
                <wp:positionV relativeFrom="paragraph">
                  <wp:posOffset>974725</wp:posOffset>
                </wp:positionV>
                <wp:extent cx="685800" cy="361950"/>
                <wp:effectExtent l="6350" t="6350" r="8890" b="454660"/>
                <wp:wrapNone/>
                <wp:docPr id="11"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36018"/>
                            <a:gd name="adj2" fmla="val 165789"/>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07E3F3">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157.8pt;margin-top:76.75pt;height:28.5pt;width:54pt;z-index:251679744;v-text-anchor:middle;mso-width-relative:page;mso-height-relative:page;" filled="f" stroked="t" coordsize="21600,21600" o:gfxdata="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Kv7&#10;l6/YAAAACwEAAA8AAAAAAAAAAQAgAAAAIgAAAGRycy9kb3ducmV2LnhtbFBLAQIUABQAAAAIAIdO&#10;4kBopxnGzgIAAHEFAAAOAAAAAAAAAAEAIAAAACcBAABkcnMvZTJvRG9jLnhtbFBLBQYAAAAABgAG&#10;AFkBAABnBgAAAAA=&#10;" adj="18580,46610,14400">
                <v:fill on="f" focussize="0,0"/>
                <v:stroke weight="1pt" color="#FF0000 [3204]" miterlimit="8" joinstyle="miter"/>
                <v:imagedata o:title=""/>
                <o:lock v:ext="edit" aspectratio="f"/>
                <v:textbox>
                  <w:txbxContent>
                    <w:p w14:paraId="6207E3F3">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1657985</wp:posOffset>
                </wp:positionH>
                <wp:positionV relativeFrom="paragraph">
                  <wp:posOffset>2658745</wp:posOffset>
                </wp:positionV>
                <wp:extent cx="685800" cy="361950"/>
                <wp:effectExtent l="6350" t="137795" r="313690" b="18415"/>
                <wp:wrapNone/>
                <wp:docPr id="12"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89537"/>
                            <a:gd name="adj2" fmla="val -79298"/>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3C1576">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130.55pt;margin-top:209.35pt;height:28.5pt;width:54pt;z-index:251680768;v-text-anchor:middle;mso-width-relative:page;mso-height-relative:page;" filled="f" stroked="t" coordsize="21600,21600" o:gfxdata="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FtE&#10;4hLZAAAACwEAAA8AAAAAAAAAAQAgAAAAIgAAAGRycy9kb3ducmV2LnhtbFBLAQIUABQAAAAIAIdO&#10;4kCwgEnrzQIAAHEFAAAOAAAAAAAAAAEAIAAAACgBAABkcnMvZTJvRG9jLnhtbFBLBQYAAAAABgAG&#10;AFkBAABnBgAAAAA=&#10;" adj="30140,-6328,14400">
                <v:fill on="f" focussize="0,0"/>
                <v:stroke weight="1pt" color="#FF0000 [3204]" miterlimit="8" joinstyle="miter"/>
                <v:imagedata o:title=""/>
                <o:lock v:ext="edit" aspectratio="f"/>
                <v:textbox>
                  <w:txbxContent>
                    <w:p w14:paraId="413C1576">
                      <w:pPr>
                        <w:spacing w:line="240" w:lineRule="auto"/>
                        <w:ind w:firstLine="0" w:firstLineChars="0"/>
                        <w:jc w:val="center"/>
                        <w:rPr>
                          <w:rFonts w:hint="default" w:eastAsia="宋体"/>
                          <w:color w:val="FF0000"/>
                          <w:lang w:val="en-US" w:eastAsia="zh-CN"/>
                        </w:rPr>
                      </w:pPr>
                      <w:r>
                        <w:rPr>
                          <w:rFonts w:hint="eastAsia"/>
                          <w:color w:val="FF0000"/>
                          <w:lang w:val="en-US" w:eastAsia="zh-CN"/>
                        </w:rPr>
                        <w:t>民房</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2232025</wp:posOffset>
                </wp:positionH>
                <wp:positionV relativeFrom="paragraph">
                  <wp:posOffset>2012315</wp:posOffset>
                </wp:positionV>
                <wp:extent cx="875665" cy="333375"/>
                <wp:effectExtent l="0" t="0" r="0" b="0"/>
                <wp:wrapNone/>
                <wp:docPr id="30" name="文本框 30"/>
                <wp:cNvGraphicFramePr/>
                <a:graphic xmlns:a="http://schemas.openxmlformats.org/drawingml/2006/main">
                  <a:graphicData uri="http://schemas.microsoft.com/office/word/2010/wordprocessingShape">
                    <wps:wsp>
                      <wps:cNvSpPr txBox="1"/>
                      <wps:spPr>
                        <a:xfrm>
                          <a:off x="4485005" y="4849495"/>
                          <a:ext cx="875665" cy="333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BB8A50">
                            <w:pPr>
                              <w:keepNext w:val="0"/>
                              <w:keepLines w:val="0"/>
                              <w:pageBreakBefore w:val="0"/>
                              <w:widowControl w:val="0"/>
                              <w:kinsoku/>
                              <w:wordWrap/>
                              <w:overflowPunct/>
                              <w:topLinePunct w:val="0"/>
                              <w:bidi w:val="0"/>
                              <w:adjustRightInd/>
                              <w:snapToGrid w:val="0"/>
                              <w:spacing w:line="240" w:lineRule="auto"/>
                              <w:ind w:firstLine="0" w:firstLineChars="0"/>
                              <w:textAlignment w:val="auto"/>
                              <w:rPr>
                                <w:rFonts w:hint="eastAsia" w:eastAsia="宋体"/>
                                <w:color w:val="FF0000"/>
                                <w:lang w:val="en-US" w:eastAsia="zh-CN"/>
                              </w:rPr>
                            </w:pPr>
                            <w:r>
                              <w:rPr>
                                <w:rFonts w:hint="eastAsia"/>
                                <w:color w:val="FF0000"/>
                                <w:lang w:val="en-US" w:eastAsia="zh-CN"/>
                              </w:rPr>
                              <w:t>加油站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75pt;margin-top:158.45pt;height:26.25pt;width:68.95pt;z-index:251665408;mso-width-relative:page;mso-height-relative:page;" filled="f" stroked="f" coordsize="21600,21600" o:gfxdata="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HriJr9wAAAALAQAADwAAAAAA&#10;AAABACAAAAAiAAAAZHJzL2Rvd25yZXYueG1sUEsBAhQAFAAAAAgAh07iQCEUAxNIAgAAcwQAAA4A&#10;AAAAAAAAAQAgAAAAKwEAAGRycy9lMm9Eb2MueG1sUEsFBgAAAAAGAAYAWQEAAOUFAAAAAA==&#10;">
                <v:fill on="f" focussize="0,0"/>
                <v:stroke on="f" weight="0.5pt"/>
                <v:imagedata o:title=""/>
                <o:lock v:ext="edit" aspectratio="f"/>
                <v:textbox>
                  <w:txbxContent>
                    <w:p w14:paraId="32BB8A50">
                      <w:pPr>
                        <w:keepNext w:val="0"/>
                        <w:keepLines w:val="0"/>
                        <w:pageBreakBefore w:val="0"/>
                        <w:widowControl w:val="0"/>
                        <w:kinsoku/>
                        <w:wordWrap/>
                        <w:overflowPunct/>
                        <w:topLinePunct w:val="0"/>
                        <w:bidi w:val="0"/>
                        <w:adjustRightInd/>
                        <w:snapToGrid w:val="0"/>
                        <w:spacing w:line="240" w:lineRule="auto"/>
                        <w:ind w:firstLine="0" w:firstLineChars="0"/>
                        <w:textAlignment w:val="auto"/>
                        <w:rPr>
                          <w:rFonts w:hint="eastAsia" w:eastAsia="宋体"/>
                          <w:color w:val="FF0000"/>
                          <w:lang w:val="en-US" w:eastAsia="zh-CN"/>
                        </w:rPr>
                      </w:pPr>
                      <w:r>
                        <w:rPr>
                          <w:rFonts w:hint="eastAsia"/>
                          <w:color w:val="FF0000"/>
                          <w:lang w:val="en-US" w:eastAsia="zh-CN"/>
                        </w:rPr>
                        <w:t>加油站</w:t>
                      </w:r>
                    </w:p>
                  </w:txbxContent>
                </v:textbox>
              </v:shap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2343785</wp:posOffset>
                </wp:positionH>
                <wp:positionV relativeFrom="paragraph">
                  <wp:posOffset>1837055</wp:posOffset>
                </wp:positionV>
                <wp:extent cx="596265" cy="638175"/>
                <wp:effectExtent l="7620" t="7620" r="20955" b="9525"/>
                <wp:wrapNone/>
                <wp:docPr id="7" name="任意多边形 7"/>
                <wp:cNvGraphicFramePr/>
                <a:graphic xmlns:a="http://schemas.openxmlformats.org/drawingml/2006/main">
                  <a:graphicData uri="http://schemas.microsoft.com/office/word/2010/wordprocessingShape">
                    <wps:wsp>
                      <wps:cNvSpPr/>
                      <wps:spPr>
                        <a:xfrm>
                          <a:off x="3208020" y="2668905"/>
                          <a:ext cx="596265" cy="638175"/>
                        </a:xfrm>
                        <a:custGeom>
                          <a:avLst/>
                          <a:gdLst>
                            <a:gd name="connisteX0" fmla="*/ 0 w 596265"/>
                            <a:gd name="connsiteY0" fmla="*/ 173990 h 638175"/>
                            <a:gd name="connisteX1" fmla="*/ 367030 w 596265"/>
                            <a:gd name="connsiteY1" fmla="*/ 0 h 638175"/>
                            <a:gd name="connisteX2" fmla="*/ 596265 w 596265"/>
                            <a:gd name="connsiteY2" fmla="*/ 201930 h 638175"/>
                            <a:gd name="connisteX3" fmla="*/ 443865 w 596265"/>
                            <a:gd name="connsiteY3" fmla="*/ 292100 h 638175"/>
                            <a:gd name="connisteX4" fmla="*/ 582295 w 596265"/>
                            <a:gd name="connsiteY4" fmla="*/ 478790 h 638175"/>
                            <a:gd name="connisteX5" fmla="*/ 104140 w 596265"/>
                            <a:gd name="connsiteY5" fmla="*/ 638175 h 638175"/>
                            <a:gd name="connisteX6" fmla="*/ 0 w 596265"/>
                            <a:gd name="connsiteY6" fmla="*/ 173990 h 6381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596265" h="638175">
                              <a:moveTo>
                                <a:pt x="0" y="173990"/>
                              </a:moveTo>
                              <a:lnTo>
                                <a:pt x="367030" y="0"/>
                              </a:lnTo>
                              <a:lnTo>
                                <a:pt x="596265" y="201930"/>
                              </a:lnTo>
                              <a:lnTo>
                                <a:pt x="443865" y="292100"/>
                              </a:lnTo>
                              <a:lnTo>
                                <a:pt x="582295" y="478790"/>
                              </a:lnTo>
                              <a:lnTo>
                                <a:pt x="104140" y="638175"/>
                              </a:lnTo>
                              <a:lnTo>
                                <a:pt x="0" y="173990"/>
                              </a:lnTo>
                              <a:close/>
                            </a:path>
                          </a:pathLst>
                        </a:cu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84.55pt;margin-top:144.65pt;height:50.25pt;width:46.95pt;z-index:251677696;mso-width-relative:page;mso-height-relative:page;" filled="f" stroked="t" coordsize="596265,638175" o:gfxdata="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yk4sRNkAAAALAQAADwAAAAAAAAAB&#10;ACAAAAAiAAAAZHJzL2Rvd25yZXYueG1sUEsBAhQAFAAAAAgAh07iQL07mSxlAwAA7gkAAA4AAAAA&#10;AAAAAQAgAAAAKAEAAGRycy9lMm9Eb2MueG1sUEsFBgAAAAAGAAYAWQEAAP8GAAAAAA==&#10;" path="m0,173990l367030,0,596265,201930,443865,292100,582295,478790,104140,638175,0,173990xe">
                <v:path o:connectlocs="0,173990;367030,0;596265,201930;443865,292100;582295,478790;104140,638175;0,173990" o:connectangles="0,0,0,0,0,0,0"/>
                <v:fill on="f" focussize="0,0"/>
                <v:stroke weight="1pt" color="#FF0000 [2404]" miterlimit="8" joinstyle="miter"/>
                <v:imagedata o:title=""/>
                <o:lock v:ext="edit" aspectratio="f"/>
              </v:shape>
            </w:pict>
          </mc:Fallback>
        </mc:AlternateContent>
      </w:r>
      <w:r>
        <w:drawing>
          <wp:inline distT="0" distB="0" distL="114300" distR="114300">
            <wp:extent cx="5826760" cy="5194300"/>
            <wp:effectExtent l="0" t="0" r="10160" b="254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41"/>
                    <a:stretch>
                      <a:fillRect/>
                    </a:stretch>
                  </pic:blipFill>
                  <pic:spPr>
                    <a:xfrm>
                      <a:off x="0" y="0"/>
                      <a:ext cx="5826760" cy="5194300"/>
                    </a:xfrm>
                    <a:prstGeom prst="rect">
                      <a:avLst/>
                    </a:prstGeom>
                    <a:noFill/>
                    <a:ln>
                      <a:noFill/>
                    </a:ln>
                  </pic:spPr>
                </pic:pic>
              </a:graphicData>
            </a:graphic>
          </wp:inline>
        </w:drawing>
      </w:r>
    </w:p>
    <w:p w14:paraId="299C4BA5">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加油站周边环境情况（卫星图）</w:t>
      </w:r>
    </w:p>
    <w:p w14:paraId="400D5E39">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表2-1汽油设备与站外建（构）筑物的安全间距（单位：m）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28"/>
        <w:gridCol w:w="935"/>
        <w:gridCol w:w="1083"/>
        <w:gridCol w:w="1644"/>
        <w:gridCol w:w="1116"/>
        <w:gridCol w:w="967"/>
        <w:gridCol w:w="2061"/>
      </w:tblGrid>
      <w:tr w14:paraId="78C3D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restart"/>
            <w:vAlign w:val="center"/>
          </w:tcPr>
          <w:p w14:paraId="598BF12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10"/>
                <w:sz w:val="21"/>
                <w:szCs w:val="21"/>
                <w14:textFill>
                  <w14:solidFill>
                    <w14:schemeClr w14:val="tx1"/>
                  </w14:solidFill>
                </w14:textFill>
              </w:rPr>
              <w:t>站外建（构）筑物</w:t>
            </w:r>
          </w:p>
        </w:tc>
        <w:tc>
          <w:tcPr>
            <w:tcW w:w="5788" w:type="dxa"/>
            <w:gridSpan w:val="4"/>
            <w:vAlign w:val="center"/>
          </w:tcPr>
          <w:p w14:paraId="784742A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站内</w:t>
            </w:r>
            <w:r>
              <w:rPr>
                <w:rFonts w:hint="eastAsia"/>
                <w:color w:val="000000" w:themeColor="text1"/>
                <w:spacing w:val="10"/>
                <w:sz w:val="21"/>
                <w:szCs w:val="21"/>
                <w14:textFill>
                  <w14:solidFill>
                    <w14:schemeClr w14:val="tx1"/>
                  </w14:solidFill>
                </w14:textFill>
              </w:rPr>
              <w:t>汽油设备</w:t>
            </w:r>
          </w:p>
        </w:tc>
      </w:tr>
      <w:tr w14:paraId="05B62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14:paraId="18285C99">
            <w:pPr>
              <w:adjustRightInd w:val="0"/>
              <w:spacing w:line="240" w:lineRule="auto"/>
              <w:ind w:firstLine="0" w:firstLineChars="0"/>
              <w:jc w:val="center"/>
              <w:rPr>
                <w:color w:val="000000" w:themeColor="text1"/>
                <w:spacing w:val="10"/>
                <w:sz w:val="21"/>
                <w:szCs w:val="21"/>
                <w14:textFill>
                  <w14:solidFill>
                    <w14:schemeClr w14:val="tx1"/>
                  </w14:solidFill>
                </w14:textFill>
              </w:rPr>
            </w:pPr>
          </w:p>
        </w:tc>
        <w:tc>
          <w:tcPr>
            <w:tcW w:w="1644" w:type="dxa"/>
            <w:vAlign w:val="center"/>
          </w:tcPr>
          <w:p w14:paraId="59067049">
            <w:pPr>
              <w:adjustRightInd w:val="0"/>
              <w:spacing w:line="240" w:lineRule="auto"/>
              <w:ind w:firstLine="0" w:firstLineChars="0"/>
              <w:jc w:val="center"/>
              <w:rPr>
                <w:color w:val="000000" w:themeColor="text1"/>
                <w:spacing w:val="20"/>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埋地油罐</w:t>
            </w:r>
          </w:p>
        </w:tc>
        <w:tc>
          <w:tcPr>
            <w:tcW w:w="1116" w:type="dxa"/>
            <w:vMerge w:val="restart"/>
            <w:vAlign w:val="center"/>
          </w:tcPr>
          <w:p w14:paraId="6493FA6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967" w:type="dxa"/>
            <w:vMerge w:val="restart"/>
            <w:vAlign w:val="center"/>
          </w:tcPr>
          <w:p w14:paraId="7F9C6F9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061" w:type="dxa"/>
            <w:vMerge w:val="restart"/>
            <w:vAlign w:val="center"/>
          </w:tcPr>
          <w:p w14:paraId="487D7CAF">
            <w:pPr>
              <w:adjustRightInd w:val="0"/>
              <w:spacing w:line="240" w:lineRule="auto"/>
              <w:ind w:firstLine="0" w:firstLineChars="0"/>
              <w:jc w:val="center"/>
              <w:rPr>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14:paraId="054A4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14:paraId="70904678">
            <w:pPr>
              <w:adjustRightInd w:val="0"/>
              <w:spacing w:line="240" w:lineRule="auto"/>
              <w:ind w:firstLine="0" w:firstLineChars="0"/>
              <w:rPr>
                <w:color w:val="000000" w:themeColor="text1"/>
                <w:sz w:val="21"/>
                <w:szCs w:val="21"/>
                <w14:textFill>
                  <w14:solidFill>
                    <w14:schemeClr w14:val="tx1"/>
                  </w14:solidFill>
                </w14:textFill>
              </w:rPr>
            </w:pPr>
          </w:p>
        </w:tc>
        <w:tc>
          <w:tcPr>
            <w:tcW w:w="1644" w:type="dxa"/>
            <w:vAlign w:val="center"/>
          </w:tcPr>
          <w:p w14:paraId="251EB59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三</w:t>
            </w:r>
            <w:r>
              <w:rPr>
                <w:rFonts w:hint="eastAsia"/>
                <w:color w:val="000000" w:themeColor="text1"/>
                <w:sz w:val="21"/>
                <w:szCs w:val="21"/>
                <w14:textFill>
                  <w14:solidFill>
                    <w14:schemeClr w14:val="tx1"/>
                  </w14:solidFill>
                </w14:textFill>
              </w:rPr>
              <w:t>级站</w:t>
            </w:r>
          </w:p>
        </w:tc>
        <w:tc>
          <w:tcPr>
            <w:tcW w:w="1116" w:type="dxa"/>
            <w:vMerge w:val="continue"/>
            <w:vAlign w:val="center"/>
          </w:tcPr>
          <w:p w14:paraId="4F347E11">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7" w:type="dxa"/>
            <w:vMerge w:val="continue"/>
            <w:vAlign w:val="center"/>
          </w:tcPr>
          <w:p w14:paraId="6977E8A2">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2061" w:type="dxa"/>
            <w:vMerge w:val="continue"/>
            <w:vAlign w:val="center"/>
          </w:tcPr>
          <w:p w14:paraId="5B40CB2D">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13840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14:paraId="183004AE">
            <w:pPr>
              <w:adjustRightInd w:val="0"/>
              <w:spacing w:line="240" w:lineRule="auto"/>
              <w:ind w:firstLine="0" w:firstLineChars="0"/>
              <w:rPr>
                <w:color w:val="000000" w:themeColor="text1"/>
                <w:sz w:val="21"/>
                <w:szCs w:val="21"/>
                <w14:textFill>
                  <w14:solidFill>
                    <w14:schemeClr w14:val="tx1"/>
                  </w14:solidFill>
                </w14:textFill>
              </w:rPr>
            </w:pPr>
          </w:p>
        </w:tc>
        <w:tc>
          <w:tcPr>
            <w:tcW w:w="3727" w:type="dxa"/>
            <w:gridSpan w:val="3"/>
            <w:vAlign w:val="center"/>
          </w:tcPr>
          <w:p w14:paraId="4AA8A0A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有卸油和加油油气回收系统</w:t>
            </w:r>
          </w:p>
        </w:tc>
        <w:tc>
          <w:tcPr>
            <w:tcW w:w="2061" w:type="dxa"/>
            <w:vMerge w:val="continue"/>
            <w:vAlign w:val="center"/>
          </w:tcPr>
          <w:p w14:paraId="005154B4">
            <w:pPr>
              <w:adjustRightInd w:val="0"/>
              <w:spacing w:line="240" w:lineRule="auto"/>
              <w:ind w:firstLine="0" w:firstLineChars="0"/>
              <w:jc w:val="center"/>
              <w:rPr>
                <w:b/>
                <w:color w:val="000000" w:themeColor="text1"/>
                <w:sz w:val="21"/>
                <w:szCs w:val="21"/>
                <w14:textFill>
                  <w14:solidFill>
                    <w14:schemeClr w14:val="tx1"/>
                  </w14:solidFill>
                </w14:textFill>
              </w:rPr>
            </w:pPr>
          </w:p>
        </w:tc>
      </w:tr>
      <w:tr w14:paraId="129E7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2907A6F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83" w:type="dxa"/>
            <w:vAlign w:val="center"/>
          </w:tcPr>
          <w:p w14:paraId="54E814CA">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6873157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1116" w:type="dxa"/>
            <w:vAlign w:val="center"/>
          </w:tcPr>
          <w:p w14:paraId="12B2248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967" w:type="dxa"/>
            <w:vAlign w:val="center"/>
          </w:tcPr>
          <w:p w14:paraId="78E3A9F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2061" w:type="dxa"/>
            <w:vMerge w:val="restart"/>
            <w:vAlign w:val="center"/>
          </w:tcPr>
          <w:p w14:paraId="3E54BED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14F69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7F57C64E">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40CDF790">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36F180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29DC8AA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60EB779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44C9961F">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943B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215201C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83" w:type="dxa"/>
            <w:vAlign w:val="center"/>
          </w:tcPr>
          <w:p w14:paraId="284A269F">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2C24094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116" w:type="dxa"/>
            <w:vAlign w:val="center"/>
          </w:tcPr>
          <w:p w14:paraId="1B8E8F4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14:paraId="098C4FC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061" w:type="dxa"/>
            <w:vMerge w:val="restart"/>
            <w:vAlign w:val="center"/>
          </w:tcPr>
          <w:p w14:paraId="4BD34C4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75581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0654089D">
            <w:pPr>
              <w:adjustRightInd w:val="0"/>
              <w:spacing w:line="240" w:lineRule="auto"/>
              <w:ind w:firstLine="0" w:firstLineChars="0"/>
              <w:jc w:val="center"/>
              <w:rPr>
                <w:b/>
                <w:bCs/>
                <w:color w:val="000000" w:themeColor="text1"/>
                <w:sz w:val="21"/>
                <w:szCs w:val="21"/>
                <w14:textFill>
                  <w14:solidFill>
                    <w14:schemeClr w14:val="tx1"/>
                  </w14:solidFill>
                </w14:textFill>
              </w:rPr>
            </w:pPr>
          </w:p>
        </w:tc>
        <w:tc>
          <w:tcPr>
            <w:tcW w:w="1083" w:type="dxa"/>
            <w:vAlign w:val="center"/>
          </w:tcPr>
          <w:p w14:paraId="6954CBC6">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0784697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00C07EC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48F9C35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74B3A4A1">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13477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14:paraId="07C3868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3" w:type="dxa"/>
            <w:gridSpan w:val="2"/>
            <w:vMerge w:val="restart"/>
            <w:vAlign w:val="center"/>
          </w:tcPr>
          <w:p w14:paraId="0FF22A4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83" w:type="dxa"/>
            <w:vAlign w:val="center"/>
          </w:tcPr>
          <w:p w14:paraId="0A78B8F8">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3411D11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16" w:type="dxa"/>
            <w:vAlign w:val="center"/>
          </w:tcPr>
          <w:p w14:paraId="5881D8D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967" w:type="dxa"/>
            <w:vAlign w:val="center"/>
          </w:tcPr>
          <w:p w14:paraId="5607081D">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2061" w:type="dxa"/>
            <w:vMerge w:val="restart"/>
            <w:vAlign w:val="center"/>
          </w:tcPr>
          <w:p w14:paraId="3404E27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42248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73B2C52C">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18D1E005">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6B9AE0D4">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3BA82B9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5DF3886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25E1B81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0B39D33C">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E19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2AC6F14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14:paraId="0BC9859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83" w:type="dxa"/>
            <w:vAlign w:val="center"/>
          </w:tcPr>
          <w:p w14:paraId="039F885D">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5082A54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116" w:type="dxa"/>
            <w:vAlign w:val="center"/>
          </w:tcPr>
          <w:p w14:paraId="2A021EF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967" w:type="dxa"/>
            <w:vAlign w:val="center"/>
          </w:tcPr>
          <w:p w14:paraId="52478A0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2061" w:type="dxa"/>
            <w:vMerge w:val="restart"/>
            <w:vAlign w:val="center"/>
          </w:tcPr>
          <w:p w14:paraId="19688BB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14:paraId="762D9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68AD4CB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4144319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171BDED2">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36A87A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2164621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74E91D5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555888B2">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0457C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5EEE891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14:paraId="3420BA4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83" w:type="dxa"/>
            <w:vAlign w:val="center"/>
          </w:tcPr>
          <w:p w14:paraId="687D5A71">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3F57C209">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1116" w:type="dxa"/>
            <w:vAlign w:val="center"/>
          </w:tcPr>
          <w:p w14:paraId="3187451E">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967" w:type="dxa"/>
            <w:vAlign w:val="center"/>
          </w:tcPr>
          <w:p w14:paraId="6D0970B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2061" w:type="dxa"/>
            <w:vMerge w:val="restart"/>
            <w:vAlign w:val="center"/>
          </w:tcPr>
          <w:p w14:paraId="4F9A1C63">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东面民房</w:t>
            </w:r>
          </w:p>
        </w:tc>
      </w:tr>
      <w:tr w14:paraId="63A2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3FCC2B3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2B77AE12">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3842E9D6">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402EA2F9">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10.9</w:t>
            </w:r>
          </w:p>
        </w:tc>
        <w:tc>
          <w:tcPr>
            <w:tcW w:w="1116" w:type="dxa"/>
            <w:vAlign w:val="center"/>
          </w:tcPr>
          <w:p w14:paraId="3A55D9BE">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33</w:t>
            </w:r>
          </w:p>
        </w:tc>
        <w:tc>
          <w:tcPr>
            <w:tcW w:w="967" w:type="dxa"/>
            <w:vAlign w:val="center"/>
          </w:tcPr>
          <w:p w14:paraId="3914838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w:t>
            </w:r>
          </w:p>
        </w:tc>
        <w:tc>
          <w:tcPr>
            <w:tcW w:w="2061" w:type="dxa"/>
            <w:vMerge w:val="continue"/>
            <w:vAlign w:val="center"/>
          </w:tcPr>
          <w:p w14:paraId="32828926">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3ECB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4D4BC7D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02ED10C4">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1BADBF80">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3FB6BA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35</w:t>
            </w:r>
          </w:p>
        </w:tc>
        <w:tc>
          <w:tcPr>
            <w:tcW w:w="1116" w:type="dxa"/>
            <w:vAlign w:val="center"/>
          </w:tcPr>
          <w:p w14:paraId="0DF07538">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w:t>
            </w:r>
          </w:p>
        </w:tc>
        <w:tc>
          <w:tcPr>
            <w:tcW w:w="967" w:type="dxa"/>
            <w:vAlign w:val="center"/>
          </w:tcPr>
          <w:p w14:paraId="5E6D1DA8">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2061" w:type="dxa"/>
            <w:vAlign w:val="center"/>
          </w:tcPr>
          <w:p w14:paraId="762F300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南面民房</w:t>
            </w:r>
          </w:p>
        </w:tc>
      </w:tr>
      <w:tr w14:paraId="226CF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7CD302CA">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4F3B93D3">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763ADFA8">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57F755EE">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31</w:t>
            </w:r>
          </w:p>
        </w:tc>
        <w:tc>
          <w:tcPr>
            <w:tcW w:w="1116" w:type="dxa"/>
            <w:vAlign w:val="center"/>
          </w:tcPr>
          <w:p w14:paraId="4382BD62">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16</w:t>
            </w:r>
          </w:p>
        </w:tc>
        <w:tc>
          <w:tcPr>
            <w:tcW w:w="967" w:type="dxa"/>
            <w:vAlign w:val="center"/>
          </w:tcPr>
          <w:p w14:paraId="312D568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33</w:t>
            </w:r>
          </w:p>
        </w:tc>
        <w:tc>
          <w:tcPr>
            <w:tcW w:w="2061" w:type="dxa"/>
            <w:vAlign w:val="center"/>
          </w:tcPr>
          <w:p w14:paraId="76765713">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南面站内卫生间</w:t>
            </w:r>
          </w:p>
        </w:tc>
      </w:tr>
      <w:tr w14:paraId="50DC5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68B56DF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387E98B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72A64B34">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79F1F83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28</w:t>
            </w:r>
          </w:p>
        </w:tc>
        <w:tc>
          <w:tcPr>
            <w:tcW w:w="1116" w:type="dxa"/>
            <w:vAlign w:val="center"/>
          </w:tcPr>
          <w:p w14:paraId="6E6A66E0">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13.4</w:t>
            </w:r>
          </w:p>
        </w:tc>
        <w:tc>
          <w:tcPr>
            <w:tcW w:w="967" w:type="dxa"/>
            <w:vAlign w:val="center"/>
          </w:tcPr>
          <w:p w14:paraId="59E39727">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w:t>
            </w:r>
          </w:p>
        </w:tc>
        <w:tc>
          <w:tcPr>
            <w:tcW w:w="2061" w:type="dxa"/>
            <w:vAlign w:val="center"/>
          </w:tcPr>
          <w:p w14:paraId="1F847FD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南面站内洗车机</w:t>
            </w:r>
          </w:p>
        </w:tc>
      </w:tr>
      <w:tr w14:paraId="467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47369423">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452DC4F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51A7EFA6">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52A5D9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11.7</w:t>
            </w:r>
          </w:p>
        </w:tc>
        <w:tc>
          <w:tcPr>
            <w:tcW w:w="1116" w:type="dxa"/>
            <w:vAlign w:val="center"/>
          </w:tcPr>
          <w:p w14:paraId="37B7A7B6">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w:t>
            </w:r>
          </w:p>
        </w:tc>
        <w:tc>
          <w:tcPr>
            <w:tcW w:w="967" w:type="dxa"/>
            <w:vAlign w:val="center"/>
          </w:tcPr>
          <w:p w14:paraId="59500E23">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11.3</w:t>
            </w:r>
          </w:p>
        </w:tc>
        <w:tc>
          <w:tcPr>
            <w:tcW w:w="2061" w:type="dxa"/>
            <w:vAlign w:val="center"/>
          </w:tcPr>
          <w:p w14:paraId="36B0924F">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南面站内辅房（发配电房、厨房等）</w:t>
            </w:r>
          </w:p>
        </w:tc>
      </w:tr>
      <w:tr w14:paraId="5C96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11C44683">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286A68A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shd w:val="clear" w:color="auto" w:fill="auto"/>
            <w:vAlign w:val="center"/>
          </w:tcPr>
          <w:p w14:paraId="07C03CF0">
            <w:pPr>
              <w:pStyle w:val="66"/>
              <w:adjustRightInd w:val="0"/>
              <w:snapToGrid w:val="0"/>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458CC34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w:t>
            </w:r>
          </w:p>
        </w:tc>
        <w:tc>
          <w:tcPr>
            <w:tcW w:w="1116" w:type="dxa"/>
            <w:vAlign w:val="center"/>
          </w:tcPr>
          <w:p w14:paraId="34AA94B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29</w:t>
            </w:r>
          </w:p>
        </w:tc>
        <w:tc>
          <w:tcPr>
            <w:tcW w:w="967" w:type="dxa"/>
            <w:vAlign w:val="center"/>
          </w:tcPr>
          <w:p w14:paraId="2ECF5471">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w:t>
            </w:r>
          </w:p>
        </w:tc>
        <w:tc>
          <w:tcPr>
            <w:tcW w:w="2061" w:type="dxa"/>
            <w:vAlign w:val="center"/>
          </w:tcPr>
          <w:p w14:paraId="296E377B">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西面民房</w:t>
            </w:r>
          </w:p>
        </w:tc>
      </w:tr>
      <w:tr w14:paraId="7B7E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14:paraId="428F4FE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14:paraId="0A918405">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2F8163C8">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53AA9F17">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w:t>
            </w:r>
          </w:p>
        </w:tc>
        <w:tc>
          <w:tcPr>
            <w:tcW w:w="1116" w:type="dxa"/>
            <w:vAlign w:val="center"/>
          </w:tcPr>
          <w:p w14:paraId="1D601B4B">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20.4</w:t>
            </w:r>
          </w:p>
        </w:tc>
        <w:tc>
          <w:tcPr>
            <w:tcW w:w="967" w:type="dxa"/>
            <w:vAlign w:val="center"/>
          </w:tcPr>
          <w:p w14:paraId="3CA4EE76">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18</w:t>
            </w:r>
          </w:p>
        </w:tc>
        <w:tc>
          <w:tcPr>
            <w:tcW w:w="2061" w:type="dxa"/>
            <w:vAlign w:val="center"/>
          </w:tcPr>
          <w:p w14:paraId="064CB8E4">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北面民房</w:t>
            </w:r>
          </w:p>
        </w:tc>
      </w:tr>
      <w:tr w14:paraId="3DF5B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42A9BA7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甲、乙类物品生产厂房、库房和甲、乙类液体储罐</w:t>
            </w:r>
          </w:p>
        </w:tc>
        <w:tc>
          <w:tcPr>
            <w:tcW w:w="1083" w:type="dxa"/>
            <w:vAlign w:val="center"/>
          </w:tcPr>
          <w:p w14:paraId="78E3C0B6">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66E12DD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116" w:type="dxa"/>
            <w:vAlign w:val="center"/>
          </w:tcPr>
          <w:p w14:paraId="29B38351">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14:paraId="54EB0E32">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061" w:type="dxa"/>
            <w:vMerge w:val="restart"/>
            <w:vAlign w:val="center"/>
          </w:tcPr>
          <w:p w14:paraId="597A3A6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73C1B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50B8B686">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7626CBE9">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2301481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0C6C0AA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2CDF21E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542811CF">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7554C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00" w:type="dxa"/>
            <w:gridSpan w:val="3"/>
            <w:vMerge w:val="restart"/>
            <w:vAlign w:val="center"/>
          </w:tcPr>
          <w:p w14:paraId="08441BEE">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83" w:type="dxa"/>
            <w:vAlign w:val="center"/>
          </w:tcPr>
          <w:p w14:paraId="4AF1A707">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2AFA8ED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1116" w:type="dxa"/>
            <w:vAlign w:val="center"/>
          </w:tcPr>
          <w:p w14:paraId="1CF74638">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967" w:type="dxa"/>
            <w:vAlign w:val="center"/>
          </w:tcPr>
          <w:p w14:paraId="5E55771B">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2061" w:type="dxa"/>
            <w:vMerge w:val="restart"/>
            <w:vAlign w:val="center"/>
          </w:tcPr>
          <w:p w14:paraId="6BDEDF8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4B93F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00" w:type="dxa"/>
            <w:gridSpan w:val="3"/>
            <w:vMerge w:val="continue"/>
            <w:vAlign w:val="center"/>
          </w:tcPr>
          <w:p w14:paraId="39E0CA6A">
            <w:pPr>
              <w:adjustRightInd w:val="0"/>
              <w:spacing w:line="240" w:lineRule="auto"/>
              <w:ind w:firstLine="420"/>
              <w:jc w:val="center"/>
              <w:rPr>
                <w:color w:val="000000" w:themeColor="text1"/>
                <w:sz w:val="21"/>
                <w:szCs w:val="21"/>
                <w14:textFill>
                  <w14:solidFill>
                    <w14:schemeClr w14:val="tx1"/>
                  </w14:solidFill>
                </w14:textFill>
              </w:rPr>
            </w:pPr>
          </w:p>
        </w:tc>
        <w:tc>
          <w:tcPr>
            <w:tcW w:w="1083" w:type="dxa"/>
            <w:vAlign w:val="center"/>
          </w:tcPr>
          <w:p w14:paraId="2FE35986">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31F0DBE">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7269806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5474B55B">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20CCC00D">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2AA4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5A991F0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83" w:type="dxa"/>
            <w:vAlign w:val="center"/>
          </w:tcPr>
          <w:p w14:paraId="6485003E">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2B7D2F6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2.5</w:t>
            </w:r>
          </w:p>
        </w:tc>
        <w:tc>
          <w:tcPr>
            <w:tcW w:w="1116" w:type="dxa"/>
            <w:vAlign w:val="center"/>
          </w:tcPr>
          <w:p w14:paraId="46AD6D8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14:paraId="78DEF5DF">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2.5</w:t>
            </w:r>
          </w:p>
        </w:tc>
        <w:tc>
          <w:tcPr>
            <w:tcW w:w="2061" w:type="dxa"/>
            <w:vMerge w:val="restart"/>
            <w:vAlign w:val="center"/>
          </w:tcPr>
          <w:p w14:paraId="417B6C1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6C82A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66085456">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561B24A0">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3A30C8A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74FB00F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48E0DD4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34CE6E3F">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928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064E10D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83" w:type="dxa"/>
            <w:vAlign w:val="center"/>
          </w:tcPr>
          <w:p w14:paraId="4DCF2981">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42E470E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1116" w:type="dxa"/>
            <w:vAlign w:val="center"/>
          </w:tcPr>
          <w:p w14:paraId="5527D23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967" w:type="dxa"/>
            <w:vAlign w:val="center"/>
          </w:tcPr>
          <w:p w14:paraId="056CF54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2061" w:type="dxa"/>
            <w:vMerge w:val="restart"/>
            <w:vAlign w:val="center"/>
          </w:tcPr>
          <w:p w14:paraId="2235EDB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1B89D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2885E7BE">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3A425975">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76BBC85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53AF543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2EB05A8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78103010">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648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232D593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83" w:type="dxa"/>
            <w:vAlign w:val="center"/>
          </w:tcPr>
          <w:p w14:paraId="768248FF">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4D3BE14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1116" w:type="dxa"/>
            <w:vAlign w:val="center"/>
          </w:tcPr>
          <w:p w14:paraId="42DA003A">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967" w:type="dxa"/>
            <w:vAlign w:val="center"/>
          </w:tcPr>
          <w:p w14:paraId="36CB0FB7">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2061" w:type="dxa"/>
            <w:vMerge w:val="restart"/>
            <w:vAlign w:val="center"/>
          </w:tcPr>
          <w:p w14:paraId="4139AD4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西面文马公路</w:t>
            </w:r>
          </w:p>
        </w:tc>
      </w:tr>
      <w:tr w14:paraId="3CE83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523A09EC">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34C2C707">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4FF2A0A2">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34</w:t>
            </w:r>
          </w:p>
        </w:tc>
        <w:tc>
          <w:tcPr>
            <w:tcW w:w="1116" w:type="dxa"/>
            <w:vAlign w:val="center"/>
          </w:tcPr>
          <w:p w14:paraId="10DA4148">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18.5</w:t>
            </w:r>
          </w:p>
        </w:tc>
        <w:tc>
          <w:tcPr>
            <w:tcW w:w="967" w:type="dxa"/>
            <w:vAlign w:val="center"/>
          </w:tcPr>
          <w:p w14:paraId="1EF0D27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2061" w:type="dxa"/>
            <w:vMerge w:val="continue"/>
            <w:vAlign w:val="center"/>
          </w:tcPr>
          <w:p w14:paraId="18B59CAE">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73B1F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gridSpan w:val="3"/>
            <w:vMerge w:val="restart"/>
            <w:vAlign w:val="center"/>
          </w:tcPr>
          <w:p w14:paraId="29E8E66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83" w:type="dxa"/>
            <w:vAlign w:val="center"/>
          </w:tcPr>
          <w:p w14:paraId="510598AB">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17F9E5D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16" w:type="dxa"/>
            <w:vAlign w:val="center"/>
          </w:tcPr>
          <w:p w14:paraId="76D9FA3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14:paraId="4F9E9D0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14:paraId="6ACEC76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718EA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00" w:type="dxa"/>
            <w:gridSpan w:val="3"/>
            <w:vMerge w:val="continue"/>
            <w:vAlign w:val="center"/>
          </w:tcPr>
          <w:p w14:paraId="70FBB3E5">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3EFE84A8">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5B222B6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706D720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11EF8492">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7367A7B6">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6D504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14:paraId="6C1FBEF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83" w:type="dxa"/>
            <w:vAlign w:val="center"/>
          </w:tcPr>
          <w:p w14:paraId="2C71A972">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43E6230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16" w:type="dxa"/>
            <w:vAlign w:val="center"/>
          </w:tcPr>
          <w:p w14:paraId="2ACB702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14:paraId="4F45AF9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14:paraId="4447B395">
            <w:pPr>
              <w:adjustRightInd w:val="0"/>
              <w:spacing w:line="240" w:lineRule="auto"/>
              <w:ind w:firstLine="0" w:firstLineChars="0"/>
              <w:jc w:val="center"/>
              <w:rPr>
                <w:rFonts w:hint="default" w:eastAsia="宋体"/>
                <w:color w:val="000000" w:themeColor="text1"/>
                <w:spacing w:val="10"/>
                <w:sz w:val="21"/>
                <w:szCs w:val="21"/>
                <w:lang w:val="en-US" w:eastAsia="zh-CN"/>
                <w14:textFill>
                  <w14:solidFill>
                    <w14:schemeClr w14:val="tx1"/>
                  </w14:solidFill>
                </w14:textFill>
              </w:rPr>
            </w:pPr>
            <w:r>
              <w:rPr>
                <w:rFonts w:hint="eastAsia"/>
                <w:color w:val="000000" w:themeColor="text1"/>
                <w:spacing w:val="10"/>
                <w:sz w:val="21"/>
                <w:szCs w:val="21"/>
                <w:lang w:val="en-US" w:eastAsia="zh-CN"/>
                <w14:textFill>
                  <w14:solidFill>
                    <w14:schemeClr w14:val="tx1"/>
                  </w14:solidFill>
                </w14:textFill>
              </w:rPr>
              <w:t>东面架空通信线</w:t>
            </w:r>
          </w:p>
        </w:tc>
      </w:tr>
      <w:tr w14:paraId="2F78F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602560E4">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0FC37232">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424754E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w:t>
            </w:r>
          </w:p>
        </w:tc>
        <w:tc>
          <w:tcPr>
            <w:tcW w:w="1116" w:type="dxa"/>
            <w:vAlign w:val="center"/>
          </w:tcPr>
          <w:p w14:paraId="79795533">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28</w:t>
            </w:r>
          </w:p>
        </w:tc>
        <w:tc>
          <w:tcPr>
            <w:tcW w:w="967" w:type="dxa"/>
            <w:vAlign w:val="center"/>
          </w:tcPr>
          <w:p w14:paraId="03D24FB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c>
          <w:tcPr>
            <w:tcW w:w="2061" w:type="dxa"/>
            <w:vMerge w:val="continue"/>
            <w:vAlign w:val="center"/>
          </w:tcPr>
          <w:p w14:paraId="06CDF31E">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1843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65C3B77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2DB64C16">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194A204">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1116" w:type="dxa"/>
            <w:vAlign w:val="center"/>
          </w:tcPr>
          <w:p w14:paraId="4C9B5EC9">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21.5</w:t>
            </w:r>
          </w:p>
        </w:tc>
        <w:tc>
          <w:tcPr>
            <w:tcW w:w="967" w:type="dxa"/>
            <w:vAlign w:val="center"/>
          </w:tcPr>
          <w:p w14:paraId="3DD3C6A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2061" w:type="dxa"/>
            <w:vAlign w:val="center"/>
          </w:tcPr>
          <w:p w14:paraId="35CC561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西面架空通信线</w:t>
            </w:r>
          </w:p>
        </w:tc>
      </w:tr>
      <w:tr w14:paraId="5CED6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14:paraId="029CC74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09B14973">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24586A75">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16" w:type="dxa"/>
            <w:vAlign w:val="center"/>
          </w:tcPr>
          <w:p w14:paraId="65B0B6D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19.4</w:t>
            </w:r>
          </w:p>
        </w:tc>
        <w:tc>
          <w:tcPr>
            <w:tcW w:w="967" w:type="dxa"/>
            <w:vAlign w:val="center"/>
          </w:tcPr>
          <w:p w14:paraId="5CB0EACB">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2061" w:type="dxa"/>
            <w:vAlign w:val="center"/>
          </w:tcPr>
          <w:p w14:paraId="61B7D6C7">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北面架空通信线</w:t>
            </w:r>
          </w:p>
        </w:tc>
      </w:tr>
      <w:tr w14:paraId="1B3B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restart"/>
            <w:vAlign w:val="center"/>
          </w:tcPr>
          <w:p w14:paraId="11C648B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5" w:type="dxa"/>
            <w:vMerge w:val="restart"/>
            <w:vAlign w:val="center"/>
          </w:tcPr>
          <w:p w14:paraId="18A96EA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83" w:type="dxa"/>
            <w:vAlign w:val="center"/>
          </w:tcPr>
          <w:p w14:paraId="374327CC">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3E27BE0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1116" w:type="dxa"/>
            <w:vAlign w:val="center"/>
          </w:tcPr>
          <w:p w14:paraId="4659B1DB">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967" w:type="dxa"/>
            <w:vAlign w:val="center"/>
          </w:tcPr>
          <w:p w14:paraId="4E8770C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061" w:type="dxa"/>
            <w:vMerge w:val="restart"/>
            <w:vAlign w:val="center"/>
          </w:tcPr>
          <w:p w14:paraId="76A553B8">
            <w:pPr>
              <w:adjustRightInd w:val="0"/>
              <w:spacing w:line="240" w:lineRule="auto"/>
              <w:ind w:firstLine="0" w:firstLineChars="0"/>
              <w:jc w:val="center"/>
              <w:rPr>
                <w:rFonts w:hint="default" w:eastAsia="宋体"/>
                <w:color w:val="000000" w:themeColor="text1"/>
                <w:spacing w:val="10"/>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46B4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14:paraId="767D80B2">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14:paraId="1052D7DB">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009D8BDD">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1A3A5EC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14:paraId="2D2521F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56309E9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14:paraId="49433FDB">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F6CA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14:paraId="247BD2E5">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restart"/>
            <w:vAlign w:val="center"/>
          </w:tcPr>
          <w:p w14:paraId="7D992AB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83" w:type="dxa"/>
            <w:vAlign w:val="center"/>
          </w:tcPr>
          <w:p w14:paraId="68BDCA85">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14:paraId="4A0DD9B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1116" w:type="dxa"/>
            <w:vAlign w:val="center"/>
          </w:tcPr>
          <w:p w14:paraId="46A73EA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14:paraId="60F54F8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14:paraId="1AA32E5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w:t>
            </w:r>
            <w:r>
              <w:rPr>
                <w:rFonts w:hint="eastAsia"/>
                <w:color w:val="000000" w:themeColor="text1"/>
                <w:sz w:val="21"/>
                <w:szCs w:val="21"/>
                <w14:textFill>
                  <w14:solidFill>
                    <w14:schemeClr w14:val="tx1"/>
                  </w14:solidFill>
                </w14:textFill>
              </w:rPr>
              <w:t>面架空电力线</w:t>
            </w:r>
          </w:p>
        </w:tc>
      </w:tr>
      <w:tr w14:paraId="717FA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65" w:type="dxa"/>
            <w:gridSpan w:val="2"/>
            <w:vMerge w:val="continue"/>
            <w:vAlign w:val="center"/>
          </w:tcPr>
          <w:p w14:paraId="295858E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14:paraId="324ACDC8">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7075BDB9">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54E720F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6.7</w:t>
            </w:r>
          </w:p>
        </w:tc>
        <w:tc>
          <w:tcPr>
            <w:tcW w:w="1116" w:type="dxa"/>
            <w:vAlign w:val="center"/>
          </w:tcPr>
          <w:p w14:paraId="4F28E0D3">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32</w:t>
            </w:r>
          </w:p>
        </w:tc>
        <w:tc>
          <w:tcPr>
            <w:tcW w:w="967" w:type="dxa"/>
            <w:vAlign w:val="center"/>
          </w:tcPr>
          <w:p w14:paraId="465D6CDA">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w:t>
            </w:r>
          </w:p>
        </w:tc>
        <w:tc>
          <w:tcPr>
            <w:tcW w:w="2061" w:type="dxa"/>
            <w:vMerge w:val="continue"/>
            <w:vAlign w:val="center"/>
          </w:tcPr>
          <w:p w14:paraId="34D7DCDA">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1011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14:paraId="56DE6FFB">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14:paraId="3744ED4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384619FA">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081F5BE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1116" w:type="dxa"/>
            <w:vAlign w:val="center"/>
          </w:tcPr>
          <w:p w14:paraId="128719D2">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21.5</w:t>
            </w:r>
          </w:p>
        </w:tc>
        <w:tc>
          <w:tcPr>
            <w:tcW w:w="967" w:type="dxa"/>
            <w:vAlign w:val="center"/>
          </w:tcPr>
          <w:p w14:paraId="59B16DA4">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2061" w:type="dxa"/>
            <w:vAlign w:val="center"/>
          </w:tcPr>
          <w:p w14:paraId="0AD1C026">
            <w:pPr>
              <w:adjustRightInd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w:t>
            </w:r>
            <w:r>
              <w:rPr>
                <w:rFonts w:hint="eastAsia"/>
                <w:color w:val="000000" w:themeColor="text1"/>
                <w:sz w:val="21"/>
                <w:szCs w:val="21"/>
                <w14:textFill>
                  <w14:solidFill>
                    <w14:schemeClr w14:val="tx1"/>
                  </w14:solidFill>
                </w14:textFill>
              </w:rPr>
              <w:t>面架空电力线</w:t>
            </w:r>
          </w:p>
        </w:tc>
      </w:tr>
      <w:tr w14:paraId="3361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14:paraId="4F16BD2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14:paraId="59A7038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14:paraId="769D6161">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14:paraId="5359E0B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16" w:type="dxa"/>
            <w:vAlign w:val="center"/>
          </w:tcPr>
          <w:p w14:paraId="5E6BA20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19.4</w:t>
            </w:r>
          </w:p>
        </w:tc>
        <w:tc>
          <w:tcPr>
            <w:tcW w:w="967" w:type="dxa"/>
            <w:vAlign w:val="center"/>
          </w:tcPr>
          <w:p w14:paraId="43DC6B15">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2061" w:type="dxa"/>
            <w:vAlign w:val="center"/>
          </w:tcPr>
          <w:p w14:paraId="60F65FDA">
            <w:pPr>
              <w:adjustRightInd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w:t>
            </w:r>
            <w:r>
              <w:rPr>
                <w:rFonts w:hint="eastAsia"/>
                <w:color w:val="000000" w:themeColor="text1"/>
                <w:sz w:val="21"/>
                <w:szCs w:val="21"/>
                <w14:textFill>
                  <w14:solidFill>
                    <w14:schemeClr w14:val="tx1"/>
                  </w14:solidFill>
                </w14:textFill>
              </w:rPr>
              <w:t>面架空电力线</w:t>
            </w:r>
          </w:p>
        </w:tc>
      </w:tr>
    </w:tbl>
    <w:p w14:paraId="2A36BC72">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表2-2 柴油设备与站外建（构）筑物的安全间距（单位：m）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8"/>
        <w:gridCol w:w="937"/>
        <w:gridCol w:w="1085"/>
        <w:gridCol w:w="1698"/>
        <w:gridCol w:w="1139"/>
        <w:gridCol w:w="967"/>
        <w:gridCol w:w="2391"/>
      </w:tblGrid>
      <w:tr w14:paraId="12E29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restart"/>
            <w:vAlign w:val="center"/>
          </w:tcPr>
          <w:p w14:paraId="06DF9F3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站外建（构）筑物</w:t>
            </w:r>
          </w:p>
        </w:tc>
        <w:tc>
          <w:tcPr>
            <w:tcW w:w="6195" w:type="dxa"/>
            <w:gridSpan w:val="4"/>
            <w:vAlign w:val="center"/>
          </w:tcPr>
          <w:p w14:paraId="0D8BA3D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站内柴油设备</w:t>
            </w:r>
          </w:p>
        </w:tc>
      </w:tr>
      <w:tr w14:paraId="6694E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14:paraId="1B4C094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698" w:type="dxa"/>
            <w:vAlign w:val="center"/>
          </w:tcPr>
          <w:p w14:paraId="58798D7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埋地油罐</w:t>
            </w:r>
          </w:p>
        </w:tc>
        <w:tc>
          <w:tcPr>
            <w:tcW w:w="1139" w:type="dxa"/>
            <w:vMerge w:val="restart"/>
            <w:vAlign w:val="center"/>
          </w:tcPr>
          <w:p w14:paraId="2A2480D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967" w:type="dxa"/>
            <w:vMerge w:val="restart"/>
            <w:vAlign w:val="center"/>
          </w:tcPr>
          <w:p w14:paraId="3225E46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391" w:type="dxa"/>
            <w:vMerge w:val="restart"/>
            <w:vAlign w:val="center"/>
          </w:tcPr>
          <w:p w14:paraId="6D7FDCC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14:paraId="7899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14:paraId="493D3349">
            <w:pPr>
              <w:adjustRightInd w:val="0"/>
              <w:spacing w:line="240" w:lineRule="auto"/>
              <w:ind w:firstLine="0" w:firstLineChars="0"/>
              <w:rPr>
                <w:color w:val="000000" w:themeColor="text1"/>
                <w:sz w:val="21"/>
                <w:szCs w:val="21"/>
                <w14:textFill>
                  <w14:solidFill>
                    <w14:schemeClr w14:val="tx1"/>
                  </w14:solidFill>
                </w14:textFill>
              </w:rPr>
            </w:pPr>
          </w:p>
        </w:tc>
        <w:tc>
          <w:tcPr>
            <w:tcW w:w="1698" w:type="dxa"/>
          </w:tcPr>
          <w:p w14:paraId="23C1A2F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三</w:t>
            </w:r>
            <w:r>
              <w:rPr>
                <w:rFonts w:hint="eastAsia"/>
                <w:color w:val="000000" w:themeColor="text1"/>
                <w:sz w:val="21"/>
                <w:szCs w:val="21"/>
                <w14:textFill>
                  <w14:solidFill>
                    <w14:schemeClr w14:val="tx1"/>
                  </w14:solidFill>
                </w14:textFill>
              </w:rPr>
              <w:t>级站</w:t>
            </w:r>
          </w:p>
        </w:tc>
        <w:tc>
          <w:tcPr>
            <w:tcW w:w="1139" w:type="dxa"/>
            <w:vMerge w:val="continue"/>
          </w:tcPr>
          <w:p w14:paraId="4EA8FAE2">
            <w:pPr>
              <w:adjustRightInd w:val="0"/>
              <w:spacing w:line="240" w:lineRule="auto"/>
              <w:ind w:firstLine="0" w:firstLineChars="0"/>
              <w:rPr>
                <w:color w:val="000000" w:themeColor="text1"/>
                <w:sz w:val="21"/>
                <w:szCs w:val="21"/>
                <w14:textFill>
                  <w14:solidFill>
                    <w14:schemeClr w14:val="tx1"/>
                  </w14:solidFill>
                </w14:textFill>
              </w:rPr>
            </w:pPr>
          </w:p>
        </w:tc>
        <w:tc>
          <w:tcPr>
            <w:tcW w:w="967" w:type="dxa"/>
            <w:vMerge w:val="continue"/>
          </w:tcPr>
          <w:p w14:paraId="156CD4A7">
            <w:pPr>
              <w:adjustRightInd w:val="0"/>
              <w:spacing w:line="240" w:lineRule="auto"/>
              <w:ind w:firstLine="0" w:firstLineChars="0"/>
              <w:rPr>
                <w:color w:val="000000" w:themeColor="text1"/>
                <w:sz w:val="21"/>
                <w:szCs w:val="21"/>
                <w14:textFill>
                  <w14:solidFill>
                    <w14:schemeClr w14:val="tx1"/>
                  </w14:solidFill>
                </w14:textFill>
              </w:rPr>
            </w:pPr>
          </w:p>
        </w:tc>
        <w:tc>
          <w:tcPr>
            <w:tcW w:w="2391" w:type="dxa"/>
            <w:vMerge w:val="continue"/>
          </w:tcPr>
          <w:p w14:paraId="20946467">
            <w:pPr>
              <w:adjustRightInd w:val="0"/>
              <w:spacing w:line="240" w:lineRule="auto"/>
              <w:ind w:firstLine="0" w:firstLineChars="0"/>
              <w:rPr>
                <w:color w:val="000000" w:themeColor="text1"/>
                <w:sz w:val="21"/>
                <w:szCs w:val="21"/>
                <w14:textFill>
                  <w14:solidFill>
                    <w14:schemeClr w14:val="tx1"/>
                  </w14:solidFill>
                </w14:textFill>
              </w:rPr>
            </w:pPr>
          </w:p>
        </w:tc>
      </w:tr>
      <w:tr w14:paraId="5304C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4556CA0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85" w:type="dxa"/>
            <w:vAlign w:val="center"/>
          </w:tcPr>
          <w:p w14:paraId="7A4DE9FD">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7AE4E14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1139" w:type="dxa"/>
            <w:vAlign w:val="center"/>
          </w:tcPr>
          <w:p w14:paraId="6EE26C4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7" w:type="dxa"/>
            <w:vAlign w:val="center"/>
          </w:tcPr>
          <w:p w14:paraId="78AD242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2391" w:type="dxa"/>
            <w:vMerge w:val="restart"/>
            <w:vAlign w:val="center"/>
          </w:tcPr>
          <w:p w14:paraId="132D1B7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2E4AF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648F1A0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1972695">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3597293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19CF745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5BF56BC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53FEEDD1">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F19E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50495A7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85" w:type="dxa"/>
            <w:vAlign w:val="center"/>
          </w:tcPr>
          <w:p w14:paraId="47F4CF7B">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233BB462">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c>
          <w:tcPr>
            <w:tcW w:w="1139" w:type="dxa"/>
            <w:vAlign w:val="center"/>
          </w:tcPr>
          <w:p w14:paraId="1AC17AB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967" w:type="dxa"/>
            <w:vAlign w:val="center"/>
          </w:tcPr>
          <w:p w14:paraId="3E438F8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2391" w:type="dxa"/>
            <w:vMerge w:val="restart"/>
            <w:vAlign w:val="center"/>
          </w:tcPr>
          <w:p w14:paraId="44E5DE0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76AB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791" w:type="dxa"/>
            <w:gridSpan w:val="3"/>
            <w:vMerge w:val="continue"/>
            <w:vAlign w:val="center"/>
          </w:tcPr>
          <w:p w14:paraId="5CFD46E2">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6B3AAE68">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742D059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153A138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72946C6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02EA7E00">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598D8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restart"/>
            <w:vAlign w:val="center"/>
          </w:tcPr>
          <w:p w14:paraId="518B0AD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5" w:type="dxa"/>
            <w:gridSpan w:val="2"/>
            <w:vMerge w:val="restart"/>
            <w:vAlign w:val="center"/>
          </w:tcPr>
          <w:p w14:paraId="3AB71EE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85" w:type="dxa"/>
            <w:vAlign w:val="center"/>
          </w:tcPr>
          <w:p w14:paraId="7085E110">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017ECDB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14:paraId="50AED1A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14:paraId="1BF64FD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vAlign w:val="center"/>
          </w:tcPr>
          <w:p w14:paraId="2F1B3BE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14:paraId="4921B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46F54121">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4833CF5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9F1D0B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14:paraId="0AEA0C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5C645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5F6FD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149CD8C2">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68268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78950B08">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14:paraId="0373048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85" w:type="dxa"/>
            <w:vAlign w:val="center"/>
          </w:tcPr>
          <w:p w14:paraId="591DABB9">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0823C02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14:paraId="75AC72C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14:paraId="3DB2C4B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vAlign w:val="center"/>
          </w:tcPr>
          <w:p w14:paraId="4F11AE5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14:paraId="35C24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4489080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1EBBCA9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8F07834">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00CAEE0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53FD828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4BDC50B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1E7B58D6">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B8D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1DFFA49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14:paraId="1E0954C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85" w:type="dxa"/>
            <w:vAlign w:val="center"/>
          </w:tcPr>
          <w:p w14:paraId="4D3B6D89">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3596BE2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14:paraId="04E0ED5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14:paraId="1861F9A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shd w:val="clear" w:color="auto" w:fill="auto"/>
            <w:vAlign w:val="center"/>
          </w:tcPr>
          <w:p w14:paraId="472CD20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东面民房</w:t>
            </w:r>
          </w:p>
        </w:tc>
      </w:tr>
      <w:tr w14:paraId="458C6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26" w:type="dxa"/>
            <w:vMerge w:val="continue"/>
            <w:vAlign w:val="center"/>
          </w:tcPr>
          <w:p w14:paraId="5CA8BEEA">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66C0AB31">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CEB793C">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2E4E969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10.9</w:t>
            </w:r>
          </w:p>
        </w:tc>
        <w:tc>
          <w:tcPr>
            <w:tcW w:w="1139" w:type="dxa"/>
            <w:vAlign w:val="center"/>
          </w:tcPr>
          <w:p w14:paraId="5441A03F">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967" w:type="dxa"/>
            <w:vAlign w:val="center"/>
          </w:tcPr>
          <w:p w14:paraId="5C1910A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w:t>
            </w:r>
          </w:p>
        </w:tc>
        <w:tc>
          <w:tcPr>
            <w:tcW w:w="2391" w:type="dxa"/>
            <w:vMerge w:val="continue"/>
            <w:vAlign w:val="center"/>
          </w:tcPr>
          <w:p w14:paraId="361BAE13">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5F814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214D091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34A08EB4">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30E9D17">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2F14FF59">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32</w:t>
            </w:r>
          </w:p>
        </w:tc>
        <w:tc>
          <w:tcPr>
            <w:tcW w:w="1139" w:type="dxa"/>
            <w:vAlign w:val="center"/>
          </w:tcPr>
          <w:p w14:paraId="3FC475C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w:t>
            </w:r>
          </w:p>
        </w:tc>
        <w:tc>
          <w:tcPr>
            <w:tcW w:w="967" w:type="dxa"/>
            <w:vAlign w:val="center"/>
          </w:tcPr>
          <w:p w14:paraId="19E04509">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2391" w:type="dxa"/>
            <w:shd w:val="clear" w:color="auto" w:fill="auto"/>
            <w:vAlign w:val="center"/>
          </w:tcPr>
          <w:p w14:paraId="419BF303">
            <w:pPr>
              <w:adjustRightInd w:val="0"/>
              <w:spacing w:line="240" w:lineRule="auto"/>
              <w:ind w:firstLine="0" w:firstLineChars="0"/>
              <w:jc w:val="center"/>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南面民房</w:t>
            </w:r>
          </w:p>
        </w:tc>
      </w:tr>
      <w:tr w14:paraId="60721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41395A2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0A41F096">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5FFB7729">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3816D6BF">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28</w:t>
            </w:r>
          </w:p>
        </w:tc>
        <w:tc>
          <w:tcPr>
            <w:tcW w:w="1139" w:type="dxa"/>
            <w:vAlign w:val="center"/>
          </w:tcPr>
          <w:p w14:paraId="3DB92CE1">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16</w:t>
            </w:r>
          </w:p>
        </w:tc>
        <w:tc>
          <w:tcPr>
            <w:tcW w:w="967" w:type="dxa"/>
            <w:vAlign w:val="center"/>
          </w:tcPr>
          <w:p w14:paraId="430DC586">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33</w:t>
            </w:r>
          </w:p>
        </w:tc>
        <w:tc>
          <w:tcPr>
            <w:tcW w:w="2391" w:type="dxa"/>
            <w:shd w:val="clear" w:color="auto" w:fill="auto"/>
            <w:vAlign w:val="center"/>
          </w:tcPr>
          <w:p w14:paraId="19547269">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南面站内卫生间</w:t>
            </w:r>
          </w:p>
        </w:tc>
      </w:tr>
      <w:tr w14:paraId="0B628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65CBDB7B">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7DF1EAC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9A441E7">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1459A635">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1139" w:type="dxa"/>
            <w:vAlign w:val="center"/>
          </w:tcPr>
          <w:p w14:paraId="3D9E8CA1">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13.4</w:t>
            </w:r>
          </w:p>
        </w:tc>
        <w:tc>
          <w:tcPr>
            <w:tcW w:w="967" w:type="dxa"/>
            <w:vAlign w:val="center"/>
          </w:tcPr>
          <w:p w14:paraId="3D3CFBE5">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w:t>
            </w:r>
          </w:p>
        </w:tc>
        <w:tc>
          <w:tcPr>
            <w:tcW w:w="2391" w:type="dxa"/>
            <w:shd w:val="clear" w:color="auto" w:fill="auto"/>
            <w:vAlign w:val="center"/>
          </w:tcPr>
          <w:p w14:paraId="198CD100">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南面站内洗车机</w:t>
            </w:r>
          </w:p>
        </w:tc>
      </w:tr>
      <w:tr w14:paraId="468DA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23E95C43">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12B0809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1E2F5475">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1107CAE2">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8.7</w:t>
            </w:r>
          </w:p>
        </w:tc>
        <w:tc>
          <w:tcPr>
            <w:tcW w:w="1139" w:type="dxa"/>
            <w:vAlign w:val="center"/>
          </w:tcPr>
          <w:p w14:paraId="778704C8">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27</w:t>
            </w:r>
          </w:p>
        </w:tc>
        <w:tc>
          <w:tcPr>
            <w:tcW w:w="967" w:type="dxa"/>
            <w:vAlign w:val="center"/>
          </w:tcPr>
          <w:p w14:paraId="2CAF7D0D">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11.3</w:t>
            </w:r>
          </w:p>
        </w:tc>
        <w:tc>
          <w:tcPr>
            <w:tcW w:w="2391" w:type="dxa"/>
            <w:shd w:val="clear" w:color="auto" w:fill="auto"/>
            <w:vAlign w:val="center"/>
          </w:tcPr>
          <w:p w14:paraId="5E0AEFF2">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南面站内辅房（发配电房、厨房等）</w:t>
            </w:r>
          </w:p>
        </w:tc>
      </w:tr>
      <w:tr w14:paraId="7161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0C2BBD3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04E6724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18A824DB">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5A5E970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w:t>
            </w:r>
          </w:p>
        </w:tc>
        <w:tc>
          <w:tcPr>
            <w:tcW w:w="1139" w:type="dxa"/>
            <w:vAlign w:val="center"/>
          </w:tcPr>
          <w:p w14:paraId="3CE339F2">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21</w:t>
            </w:r>
          </w:p>
        </w:tc>
        <w:tc>
          <w:tcPr>
            <w:tcW w:w="967" w:type="dxa"/>
            <w:vAlign w:val="center"/>
          </w:tcPr>
          <w:p w14:paraId="40DF84E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w:t>
            </w:r>
          </w:p>
        </w:tc>
        <w:tc>
          <w:tcPr>
            <w:tcW w:w="2391" w:type="dxa"/>
            <w:shd w:val="clear" w:color="auto" w:fill="auto"/>
            <w:vAlign w:val="center"/>
          </w:tcPr>
          <w:p w14:paraId="7653FABC">
            <w:pPr>
              <w:adjustRightInd w:val="0"/>
              <w:spacing w:line="240" w:lineRule="auto"/>
              <w:ind w:firstLine="0" w:firstLineChars="0"/>
              <w:jc w:val="center"/>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西面民房</w:t>
            </w:r>
          </w:p>
        </w:tc>
      </w:tr>
      <w:tr w14:paraId="0516F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14:paraId="3302C27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14:paraId="1662A918">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46D37622">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776A8142">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18.5</w:t>
            </w:r>
          </w:p>
        </w:tc>
        <w:tc>
          <w:tcPr>
            <w:tcW w:w="1139" w:type="dxa"/>
            <w:vAlign w:val="center"/>
          </w:tcPr>
          <w:p w14:paraId="2D8FD493">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20.4</w:t>
            </w:r>
          </w:p>
        </w:tc>
        <w:tc>
          <w:tcPr>
            <w:tcW w:w="967" w:type="dxa"/>
            <w:vAlign w:val="center"/>
          </w:tcPr>
          <w:p w14:paraId="33089FA6">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18</w:t>
            </w:r>
          </w:p>
        </w:tc>
        <w:tc>
          <w:tcPr>
            <w:tcW w:w="2391" w:type="dxa"/>
            <w:shd w:val="clear" w:color="auto" w:fill="auto"/>
            <w:vAlign w:val="center"/>
          </w:tcPr>
          <w:p w14:paraId="21B3B8A3">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北面民房</w:t>
            </w:r>
          </w:p>
        </w:tc>
      </w:tr>
      <w:tr w14:paraId="65BAF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7DCB900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甲、乙类物品生产厂房、库房和甲、乙类液体储罐</w:t>
            </w:r>
          </w:p>
        </w:tc>
        <w:tc>
          <w:tcPr>
            <w:tcW w:w="1085" w:type="dxa"/>
            <w:vAlign w:val="center"/>
          </w:tcPr>
          <w:p w14:paraId="2E4F51E7">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09712ED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w:t>
            </w:r>
          </w:p>
        </w:tc>
        <w:tc>
          <w:tcPr>
            <w:tcW w:w="1139" w:type="dxa"/>
            <w:vAlign w:val="center"/>
          </w:tcPr>
          <w:p w14:paraId="607D8DC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967" w:type="dxa"/>
            <w:vAlign w:val="center"/>
          </w:tcPr>
          <w:p w14:paraId="66310DF4">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391" w:type="dxa"/>
            <w:vMerge w:val="restart"/>
            <w:vAlign w:val="center"/>
          </w:tcPr>
          <w:p w14:paraId="1E09F35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0158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08BDC2E4">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3B9D83E9">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380DA08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4073C22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0AE1C1F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70B8C36F">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46AC7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791" w:type="dxa"/>
            <w:gridSpan w:val="3"/>
            <w:vMerge w:val="restart"/>
            <w:vAlign w:val="center"/>
          </w:tcPr>
          <w:p w14:paraId="61138DDC">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85" w:type="dxa"/>
            <w:vAlign w:val="center"/>
          </w:tcPr>
          <w:p w14:paraId="7A36D833">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7D6E0AD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139" w:type="dxa"/>
            <w:vAlign w:val="center"/>
          </w:tcPr>
          <w:p w14:paraId="78B5EAB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967" w:type="dxa"/>
            <w:vAlign w:val="center"/>
          </w:tcPr>
          <w:p w14:paraId="33AD4C4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391" w:type="dxa"/>
            <w:vMerge w:val="restart"/>
            <w:vAlign w:val="center"/>
          </w:tcPr>
          <w:p w14:paraId="28F92C3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1AD53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91" w:type="dxa"/>
            <w:gridSpan w:val="3"/>
            <w:vMerge w:val="continue"/>
            <w:vAlign w:val="center"/>
          </w:tcPr>
          <w:p w14:paraId="516629BD">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4F7F7E09">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0BE29BF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34E9ADED">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0F63DF03">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0A891AD9">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5A61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084A4D3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85" w:type="dxa"/>
            <w:vAlign w:val="center"/>
          </w:tcPr>
          <w:p w14:paraId="4058C805">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513A3B2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139" w:type="dxa"/>
            <w:vAlign w:val="center"/>
          </w:tcPr>
          <w:p w14:paraId="487A0F4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967" w:type="dxa"/>
            <w:vAlign w:val="center"/>
          </w:tcPr>
          <w:p w14:paraId="1481411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2391" w:type="dxa"/>
            <w:vMerge w:val="restart"/>
            <w:vAlign w:val="center"/>
          </w:tcPr>
          <w:p w14:paraId="7B452D8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2EC62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0D673A6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7ECF7DEC">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73A6153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3AC0744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11EBF82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08B4F6B4">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00B4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2CBCD3B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85" w:type="dxa"/>
            <w:vAlign w:val="center"/>
          </w:tcPr>
          <w:p w14:paraId="32A20FB1">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0DB3603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1139" w:type="dxa"/>
            <w:vAlign w:val="center"/>
          </w:tcPr>
          <w:p w14:paraId="5E9D444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967" w:type="dxa"/>
            <w:vAlign w:val="center"/>
          </w:tcPr>
          <w:p w14:paraId="025E03C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2391" w:type="dxa"/>
            <w:vMerge w:val="restart"/>
            <w:vAlign w:val="center"/>
          </w:tcPr>
          <w:p w14:paraId="70222E7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2870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13F9805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22CB703A">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6771B00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0B200F3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4761431E">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668FF81A">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CCDE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07532489">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85" w:type="dxa"/>
            <w:vAlign w:val="center"/>
          </w:tcPr>
          <w:p w14:paraId="29EF063D">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1437FE9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39" w:type="dxa"/>
            <w:vAlign w:val="center"/>
          </w:tcPr>
          <w:p w14:paraId="5495FA1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67" w:type="dxa"/>
            <w:vAlign w:val="center"/>
          </w:tcPr>
          <w:p w14:paraId="7E36351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391" w:type="dxa"/>
            <w:vMerge w:val="restart"/>
            <w:vAlign w:val="center"/>
          </w:tcPr>
          <w:p w14:paraId="5F9C2FA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西面文马公路</w:t>
            </w:r>
          </w:p>
        </w:tc>
      </w:tr>
      <w:tr w14:paraId="3E276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37527E93">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16AFDAED">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6C85DF9D">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34</w:t>
            </w:r>
          </w:p>
        </w:tc>
        <w:tc>
          <w:tcPr>
            <w:tcW w:w="1139" w:type="dxa"/>
            <w:vAlign w:val="center"/>
          </w:tcPr>
          <w:p w14:paraId="3C313DC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967" w:type="dxa"/>
            <w:vAlign w:val="center"/>
          </w:tcPr>
          <w:p w14:paraId="6FEA72ED">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2391" w:type="dxa"/>
            <w:vMerge w:val="continue"/>
            <w:vAlign w:val="center"/>
          </w:tcPr>
          <w:p w14:paraId="566E2A2F">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192E3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14:paraId="73925951">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85" w:type="dxa"/>
            <w:vAlign w:val="center"/>
          </w:tcPr>
          <w:p w14:paraId="30D9828B">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1D50751F">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39" w:type="dxa"/>
            <w:vAlign w:val="center"/>
          </w:tcPr>
          <w:p w14:paraId="1E6998B9">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67" w:type="dxa"/>
            <w:vAlign w:val="center"/>
          </w:tcPr>
          <w:p w14:paraId="462743E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391" w:type="dxa"/>
            <w:vMerge w:val="restart"/>
            <w:vAlign w:val="center"/>
          </w:tcPr>
          <w:p w14:paraId="5751DA6C">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48212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648C9CF9">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4BEB9196">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5B343686">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73B648D1">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0840499F">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3C0C747B">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26F3E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791" w:type="dxa"/>
            <w:gridSpan w:val="3"/>
            <w:vMerge w:val="restart"/>
            <w:vAlign w:val="center"/>
          </w:tcPr>
          <w:p w14:paraId="17C45B4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85" w:type="dxa"/>
            <w:vAlign w:val="center"/>
          </w:tcPr>
          <w:p w14:paraId="4EB36904">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440B1376">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39" w:type="dxa"/>
            <w:vAlign w:val="center"/>
          </w:tcPr>
          <w:p w14:paraId="2BD99185">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14:paraId="7F78720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1" w:type="dxa"/>
            <w:vMerge w:val="restart"/>
            <w:vAlign w:val="center"/>
          </w:tcPr>
          <w:p w14:paraId="105D335B">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pacing w:val="10"/>
                <w:sz w:val="21"/>
                <w:szCs w:val="21"/>
                <w:lang w:val="en-US" w:eastAsia="zh-CN"/>
                <w14:textFill>
                  <w14:solidFill>
                    <w14:schemeClr w14:val="tx1"/>
                  </w14:solidFill>
                </w14:textFill>
              </w:rPr>
              <w:t>东面架空通信线</w:t>
            </w:r>
          </w:p>
        </w:tc>
      </w:tr>
      <w:tr w14:paraId="1214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4239E215">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45531697">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14:paraId="710BD4DF">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6.9</w:t>
            </w:r>
          </w:p>
        </w:tc>
        <w:tc>
          <w:tcPr>
            <w:tcW w:w="1139" w:type="dxa"/>
            <w:vAlign w:val="center"/>
          </w:tcPr>
          <w:p w14:paraId="42C3F0E8">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36</w:t>
            </w:r>
          </w:p>
        </w:tc>
        <w:tc>
          <w:tcPr>
            <w:tcW w:w="967" w:type="dxa"/>
            <w:vAlign w:val="center"/>
          </w:tcPr>
          <w:p w14:paraId="10881487">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c>
          <w:tcPr>
            <w:tcW w:w="2391" w:type="dxa"/>
            <w:vMerge w:val="continue"/>
            <w:vAlign w:val="center"/>
          </w:tcPr>
          <w:p w14:paraId="5E609C98">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0006A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0F131CFC">
            <w:pPr>
              <w:adjustRightInd w:val="0"/>
              <w:spacing w:line="240" w:lineRule="auto"/>
              <w:ind w:firstLine="0" w:firstLineChars="0"/>
              <w:jc w:val="center"/>
              <w:rPr>
                <w:color w:val="000000" w:themeColor="text1"/>
                <w:sz w:val="21"/>
                <w:szCs w:val="21"/>
                <w14:textFill>
                  <w14:solidFill>
                    <w14:schemeClr w14:val="tx1"/>
                  </w14:solidFill>
                </w14:textFill>
              </w:rPr>
            </w:pPr>
            <w:bookmarkStart w:id="85" w:name="_Toc23896"/>
            <w:bookmarkStart w:id="86" w:name="_Toc235587809"/>
            <w:bookmarkStart w:id="87" w:name="_Toc236123673"/>
            <w:bookmarkStart w:id="88" w:name="_Toc231983385"/>
            <w:bookmarkStart w:id="89" w:name="_Toc231835940"/>
            <w:bookmarkStart w:id="90" w:name="_Toc233515704"/>
            <w:bookmarkStart w:id="91" w:name="_Toc232084123"/>
            <w:bookmarkStart w:id="92" w:name="_Toc231982076"/>
            <w:bookmarkStart w:id="93" w:name="_Toc248220519"/>
            <w:bookmarkStart w:id="94" w:name="_Toc275268717"/>
          </w:p>
        </w:tc>
        <w:tc>
          <w:tcPr>
            <w:tcW w:w="1085" w:type="dxa"/>
            <w:vAlign w:val="center"/>
          </w:tcPr>
          <w:p w14:paraId="16E4E586">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14:paraId="414522BA">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1139" w:type="dxa"/>
            <w:vAlign w:val="center"/>
          </w:tcPr>
          <w:p w14:paraId="1B5698A2">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13.5</w:t>
            </w:r>
          </w:p>
        </w:tc>
        <w:tc>
          <w:tcPr>
            <w:tcW w:w="967" w:type="dxa"/>
            <w:vAlign w:val="center"/>
          </w:tcPr>
          <w:p w14:paraId="4389608E">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2391" w:type="dxa"/>
            <w:vAlign w:val="center"/>
          </w:tcPr>
          <w:p w14:paraId="4D593DEC">
            <w:pPr>
              <w:adjustRightInd w:val="0"/>
              <w:spacing w:line="240" w:lineRule="auto"/>
              <w:ind w:firstLine="0" w:firstLineChars="0"/>
              <w:jc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西面架空通信线</w:t>
            </w:r>
          </w:p>
        </w:tc>
      </w:tr>
      <w:tr w14:paraId="5CF5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14:paraId="0150EEC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583D1ADE">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14:paraId="742035E4">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17.5</w:t>
            </w:r>
          </w:p>
        </w:tc>
        <w:tc>
          <w:tcPr>
            <w:tcW w:w="1139" w:type="dxa"/>
            <w:vAlign w:val="center"/>
          </w:tcPr>
          <w:p w14:paraId="6CDFC3A9">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19.4</w:t>
            </w:r>
          </w:p>
        </w:tc>
        <w:tc>
          <w:tcPr>
            <w:tcW w:w="967" w:type="dxa"/>
            <w:vAlign w:val="center"/>
          </w:tcPr>
          <w:p w14:paraId="3A9C2E75">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2391" w:type="dxa"/>
            <w:vAlign w:val="center"/>
          </w:tcPr>
          <w:p w14:paraId="02EB696E">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北面架空通信线</w:t>
            </w:r>
          </w:p>
        </w:tc>
      </w:tr>
      <w:tr w14:paraId="0B011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restart"/>
            <w:vAlign w:val="center"/>
          </w:tcPr>
          <w:p w14:paraId="7D5C9AEA">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7" w:type="dxa"/>
            <w:vMerge w:val="restart"/>
            <w:vAlign w:val="center"/>
          </w:tcPr>
          <w:p w14:paraId="0EB599DB">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85" w:type="dxa"/>
            <w:vAlign w:val="center"/>
          </w:tcPr>
          <w:p w14:paraId="2E25EE84">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5D62EBF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1139" w:type="dxa"/>
            <w:vAlign w:val="center"/>
          </w:tcPr>
          <w:p w14:paraId="458B2A2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967" w:type="dxa"/>
            <w:vAlign w:val="center"/>
          </w:tcPr>
          <w:p w14:paraId="3B8F3230">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391" w:type="dxa"/>
            <w:vMerge w:val="restart"/>
            <w:vAlign w:val="center"/>
          </w:tcPr>
          <w:p w14:paraId="7C25BEF8">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14:paraId="3236C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14:paraId="7074C998">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14:paraId="0A0E9761">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654F4636">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1094138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14:paraId="73B63DD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14:paraId="056A1024">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14:paraId="4641AC88">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3484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14:paraId="252A06B2">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restart"/>
            <w:vAlign w:val="center"/>
          </w:tcPr>
          <w:p w14:paraId="3F4DED1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85" w:type="dxa"/>
            <w:vAlign w:val="center"/>
          </w:tcPr>
          <w:p w14:paraId="5A8AD13F">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14:paraId="25F541C2">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1139" w:type="dxa"/>
            <w:vAlign w:val="center"/>
          </w:tcPr>
          <w:p w14:paraId="0B1C832B">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14:paraId="11599983">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1" w:type="dxa"/>
            <w:vMerge w:val="restart"/>
            <w:vAlign w:val="center"/>
          </w:tcPr>
          <w:p w14:paraId="375C2028">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w:t>
            </w:r>
            <w:r>
              <w:rPr>
                <w:rFonts w:hint="eastAsia"/>
                <w:color w:val="000000" w:themeColor="text1"/>
                <w:sz w:val="21"/>
                <w:szCs w:val="21"/>
                <w14:textFill>
                  <w14:solidFill>
                    <w14:schemeClr w14:val="tx1"/>
                  </w14:solidFill>
                </w14:textFill>
              </w:rPr>
              <w:t>面架空电力线</w:t>
            </w:r>
          </w:p>
        </w:tc>
      </w:tr>
      <w:tr w14:paraId="48054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14:paraId="78CEAEE8">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14:paraId="35E905E7">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1479D642">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4C5B8A18">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w:t>
            </w:r>
          </w:p>
        </w:tc>
        <w:tc>
          <w:tcPr>
            <w:tcW w:w="1139" w:type="dxa"/>
            <w:vAlign w:val="center"/>
          </w:tcPr>
          <w:p w14:paraId="6F303935">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967" w:type="dxa"/>
            <w:vAlign w:val="center"/>
          </w:tcPr>
          <w:p w14:paraId="2D5F45EC">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w:t>
            </w:r>
          </w:p>
        </w:tc>
        <w:tc>
          <w:tcPr>
            <w:tcW w:w="2391" w:type="dxa"/>
            <w:vMerge w:val="continue"/>
            <w:vAlign w:val="center"/>
          </w:tcPr>
          <w:p w14:paraId="01082D66">
            <w:pPr>
              <w:adjustRightInd w:val="0"/>
              <w:spacing w:line="240" w:lineRule="auto"/>
              <w:ind w:firstLine="0" w:firstLineChars="0"/>
              <w:jc w:val="center"/>
              <w:rPr>
                <w:color w:val="000000" w:themeColor="text1"/>
                <w:sz w:val="21"/>
                <w:szCs w:val="21"/>
                <w14:textFill>
                  <w14:solidFill>
                    <w14:schemeClr w14:val="tx1"/>
                  </w14:solidFill>
                </w14:textFill>
              </w:rPr>
            </w:pPr>
          </w:p>
        </w:tc>
      </w:tr>
      <w:tr w14:paraId="5101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14:paraId="3BC18A4F">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14:paraId="26B213C1">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421F23A7">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5D4F2199">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1139" w:type="dxa"/>
            <w:vAlign w:val="center"/>
          </w:tcPr>
          <w:p w14:paraId="3DB93A5E">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13.5</w:t>
            </w:r>
          </w:p>
        </w:tc>
        <w:tc>
          <w:tcPr>
            <w:tcW w:w="967" w:type="dxa"/>
            <w:vAlign w:val="center"/>
          </w:tcPr>
          <w:p w14:paraId="6BD9ED10">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2391" w:type="dxa"/>
            <w:vAlign w:val="center"/>
          </w:tcPr>
          <w:p w14:paraId="0D66B6AD">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w:t>
            </w:r>
            <w:r>
              <w:rPr>
                <w:rFonts w:hint="eastAsia"/>
                <w:color w:val="000000" w:themeColor="text1"/>
                <w:sz w:val="21"/>
                <w:szCs w:val="21"/>
                <w14:textFill>
                  <w14:solidFill>
                    <w14:schemeClr w14:val="tx1"/>
                  </w14:solidFill>
                </w14:textFill>
              </w:rPr>
              <w:t>面架空电力线</w:t>
            </w:r>
          </w:p>
        </w:tc>
      </w:tr>
      <w:tr w14:paraId="4F300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14:paraId="04667AE4">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14:paraId="7E014600">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14:paraId="250DF824">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14:paraId="3EBF082B">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17.5</w:t>
            </w:r>
          </w:p>
        </w:tc>
        <w:tc>
          <w:tcPr>
            <w:tcW w:w="1139" w:type="dxa"/>
            <w:vAlign w:val="center"/>
          </w:tcPr>
          <w:p w14:paraId="65C7FC8F">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19.4</w:t>
            </w:r>
          </w:p>
        </w:tc>
        <w:tc>
          <w:tcPr>
            <w:tcW w:w="967" w:type="dxa"/>
            <w:vAlign w:val="center"/>
          </w:tcPr>
          <w:p w14:paraId="17865FA3">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2391" w:type="dxa"/>
            <w:vAlign w:val="center"/>
          </w:tcPr>
          <w:p w14:paraId="6C037580">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w:t>
            </w:r>
            <w:r>
              <w:rPr>
                <w:rFonts w:hint="eastAsia"/>
                <w:color w:val="000000" w:themeColor="text1"/>
                <w:sz w:val="21"/>
                <w:szCs w:val="21"/>
                <w14:textFill>
                  <w14:solidFill>
                    <w14:schemeClr w14:val="tx1"/>
                  </w14:solidFill>
                </w14:textFill>
              </w:rPr>
              <w:t>面架空电力线</w:t>
            </w:r>
          </w:p>
        </w:tc>
      </w:tr>
    </w:tbl>
    <w:p w14:paraId="71E732FE">
      <w:pPr>
        <w:pStyle w:val="3"/>
        <w:rPr>
          <w:color w:val="000000" w:themeColor="text1"/>
          <w14:textFill>
            <w14:solidFill>
              <w14:schemeClr w14:val="tx1"/>
            </w14:solidFill>
          </w14:textFill>
        </w:rPr>
      </w:pPr>
      <w:bookmarkStart w:id="95" w:name="_Toc15942"/>
      <w:r>
        <w:rPr>
          <w:color w:val="000000" w:themeColor="text1"/>
          <w14:textFill>
            <w14:solidFill>
              <w14:schemeClr w14:val="tx1"/>
            </w14:solidFill>
          </w14:textFill>
        </w:rPr>
        <w:t>平面布置</w:t>
      </w:r>
      <w:bookmarkEnd w:id="85"/>
      <w:bookmarkEnd w:id="86"/>
      <w:bookmarkEnd w:id="87"/>
      <w:bookmarkEnd w:id="88"/>
      <w:bookmarkEnd w:id="89"/>
      <w:bookmarkEnd w:id="90"/>
      <w:bookmarkEnd w:id="91"/>
      <w:bookmarkEnd w:id="92"/>
      <w:bookmarkEnd w:id="93"/>
      <w:bookmarkEnd w:id="94"/>
      <w:bookmarkEnd w:id="95"/>
    </w:p>
    <w:p w14:paraId="5DF6C9D4">
      <w:pPr>
        <w:keepNext w:val="0"/>
        <w:keepLines w:val="0"/>
        <w:pageBreakBefore w:val="0"/>
        <w:widowControl w:val="0"/>
        <w:kinsoku/>
        <w:wordWrap/>
        <w:overflowPunct/>
        <w:topLinePunct w:val="0"/>
        <w:autoSpaceDE/>
        <w:autoSpaceDN/>
        <w:bidi w:val="0"/>
        <w:adjustRightInd/>
        <w:snapToGrid/>
        <w:spacing w:line="500" w:lineRule="exact"/>
        <w:jc w:val="both"/>
        <w:textAlignment w:val="auto"/>
        <w:rPr>
          <w:color w:val="000000" w:themeColor="text1"/>
          <w:szCs w:val="28"/>
          <w14:textFill>
            <w14:solidFill>
              <w14:schemeClr w14:val="tx1"/>
            </w14:solidFill>
          </w14:textFill>
        </w:rPr>
      </w:pPr>
      <w:bookmarkStart w:id="96" w:name="OLE_LINK2"/>
      <w:r>
        <w:rPr>
          <w:rFonts w:hint="eastAsia"/>
          <w:color w:val="000000" w:themeColor="text1"/>
          <w:szCs w:val="28"/>
          <w:lang w:eastAsia="zh-CN"/>
          <w14:textFill>
            <w14:solidFill>
              <w14:schemeClr w14:val="tx1"/>
            </w14:solidFill>
          </w14:textFill>
        </w:rPr>
        <w:t>文山市星运能源有限公司坐东朝西</w:t>
      </w:r>
      <w:r>
        <w:rPr>
          <w:rFonts w:hint="eastAsia"/>
          <w:color w:val="000000" w:themeColor="text1"/>
          <w:szCs w:val="28"/>
          <w14:textFill>
            <w14:solidFill>
              <w14:schemeClr w14:val="tx1"/>
            </w14:solidFill>
          </w14:textFill>
        </w:rPr>
        <w:t>，平面布置按功能</w:t>
      </w:r>
      <w:r>
        <w:rPr>
          <w:rFonts w:hint="eastAsia"/>
          <w:color w:val="000000" w:themeColor="text1"/>
          <w:szCs w:val="28"/>
          <w:lang w:val="en-US" w:eastAsia="zh-CN"/>
          <w14:textFill>
            <w14:solidFill>
              <w14:schemeClr w14:val="tx1"/>
            </w14:solidFill>
          </w14:textFill>
        </w:rPr>
        <w:t>分区</w:t>
      </w:r>
      <w:r>
        <w:rPr>
          <w:rFonts w:hint="eastAsia"/>
          <w:color w:val="000000" w:themeColor="text1"/>
          <w:szCs w:val="28"/>
          <w14:textFill>
            <w14:solidFill>
              <w14:schemeClr w14:val="tx1"/>
            </w14:solidFill>
          </w14:textFill>
        </w:rPr>
        <w:t>分为</w:t>
      </w:r>
      <w:r>
        <w:rPr>
          <w:rFonts w:hint="eastAsia"/>
          <w:color w:val="000000" w:themeColor="text1"/>
          <w:szCs w:val="28"/>
          <w:lang w:val="en-US" w:eastAsia="zh-CN"/>
          <w14:textFill>
            <w14:solidFill>
              <w14:schemeClr w14:val="tx1"/>
            </w14:solidFill>
          </w14:textFill>
        </w:rPr>
        <w:t>油罐区、站房、加油区、洗车设施、辅房</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站房</w:t>
      </w:r>
      <w:r>
        <w:rPr>
          <w:rFonts w:hint="eastAsia"/>
          <w:color w:val="000000" w:themeColor="text1"/>
          <w:szCs w:val="28"/>
          <w14:textFill>
            <w14:solidFill>
              <w14:schemeClr w14:val="tx1"/>
            </w14:solidFill>
          </w14:textFill>
        </w:rPr>
        <w:t>位于</w:t>
      </w:r>
      <w:r>
        <w:rPr>
          <w:rFonts w:hint="eastAsia"/>
          <w:color w:val="000000" w:themeColor="text1"/>
          <w:szCs w:val="28"/>
          <w:lang w:val="en-US" w:eastAsia="zh-CN"/>
          <w14:textFill>
            <w14:solidFill>
              <w14:schemeClr w14:val="tx1"/>
            </w14:solidFill>
          </w14:textFill>
        </w:rPr>
        <w:t>站区中部</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油罐区</w:t>
      </w:r>
      <w:r>
        <w:rPr>
          <w:rFonts w:hint="eastAsia"/>
          <w:color w:val="000000" w:themeColor="text1"/>
          <w:szCs w:val="28"/>
          <w14:textFill>
            <w14:solidFill>
              <w14:schemeClr w14:val="tx1"/>
            </w14:solidFill>
          </w14:textFill>
        </w:rPr>
        <w:t>位于</w:t>
      </w:r>
      <w:r>
        <w:rPr>
          <w:rFonts w:hint="eastAsia"/>
          <w:color w:val="000000" w:themeColor="text1"/>
          <w:szCs w:val="28"/>
          <w:lang w:val="en-US" w:eastAsia="zh-CN"/>
          <w14:textFill>
            <w14:solidFill>
              <w14:schemeClr w14:val="tx1"/>
            </w14:solidFill>
          </w14:textFill>
        </w:rPr>
        <w:t>站房东北侧</w:t>
      </w:r>
      <w:r>
        <w:rPr>
          <w:rFonts w:hint="eastAsia"/>
          <w:color w:val="000000" w:themeColor="text1"/>
          <w:szCs w:val="28"/>
          <w14:textFill>
            <w14:solidFill>
              <w14:schemeClr w14:val="tx1"/>
            </w14:solidFill>
          </w14:textFill>
        </w:rPr>
        <w:t>，卸油区设置在油罐区</w:t>
      </w:r>
      <w:r>
        <w:rPr>
          <w:rFonts w:hint="eastAsia"/>
          <w:color w:val="000000" w:themeColor="text1"/>
          <w:szCs w:val="28"/>
          <w:lang w:val="en-US" w:eastAsia="zh-CN"/>
          <w14:textFill>
            <w14:solidFill>
              <w14:schemeClr w14:val="tx1"/>
            </w14:solidFill>
          </w14:textFill>
        </w:rPr>
        <w:t>西北侧</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加油区位于站房西侧，洗车设施、辅房和站内卫生间位于加油站南侧</w:t>
      </w:r>
      <w:r>
        <w:rPr>
          <w:rFonts w:hint="eastAsia"/>
          <w:color w:val="000000" w:themeColor="text1"/>
          <w:szCs w:val="28"/>
          <w14:textFill>
            <w14:solidFill>
              <w14:schemeClr w14:val="tx1"/>
            </w14:solidFill>
          </w14:textFill>
        </w:rPr>
        <w:t>。加油站站房、罩棚耐火等级均为二级。加油站入口与出口分开设置，加油站</w:t>
      </w:r>
      <w:r>
        <w:rPr>
          <w:rFonts w:hint="eastAsia"/>
          <w:color w:val="000000" w:themeColor="text1"/>
          <w:szCs w:val="28"/>
          <w:lang w:val="en-US" w:eastAsia="zh-CN"/>
          <w14:textFill>
            <w14:solidFill>
              <w14:schemeClr w14:val="tx1"/>
            </w14:solidFill>
          </w14:textFill>
        </w:rPr>
        <w:t>面向公路一侧设置有绿化带与外界隔离</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加油站除临公路侧外，北面、东面、南面均</w:t>
      </w:r>
      <w:r>
        <w:rPr>
          <w:rFonts w:hint="eastAsia"/>
          <w:color w:val="000000" w:themeColor="text1"/>
          <w:szCs w:val="28"/>
          <w14:textFill>
            <w14:solidFill>
              <w14:schemeClr w14:val="tx1"/>
            </w14:solidFill>
          </w14:textFill>
        </w:rPr>
        <w:t>设置</w:t>
      </w:r>
      <w:r>
        <w:rPr>
          <w:rFonts w:hint="eastAsia"/>
          <w:color w:val="000000" w:themeColor="text1"/>
          <w:szCs w:val="28"/>
          <w:lang w:val="en-US" w:eastAsia="zh-CN"/>
          <w14:textFill>
            <w14:solidFill>
              <w14:schemeClr w14:val="tx1"/>
            </w14:solidFill>
          </w14:textFill>
        </w:rPr>
        <w:t>了</w:t>
      </w:r>
      <w:r>
        <w:rPr>
          <w:rFonts w:hint="eastAsia"/>
          <w:color w:val="000000" w:themeColor="text1"/>
          <w:szCs w:val="28"/>
          <w14:textFill>
            <w14:solidFill>
              <w14:schemeClr w14:val="tx1"/>
            </w14:solidFill>
          </w14:textFill>
        </w:rPr>
        <w:t>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的实体围墙与外界隔开，加油站平面布置具体如下：</w:t>
      </w:r>
    </w:p>
    <w:p w14:paraId="753C8F0F">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加油区：</w:t>
      </w:r>
      <w:r>
        <w:rPr>
          <w:rFonts w:hint="eastAsia"/>
          <w:color w:val="000000" w:themeColor="text1"/>
          <w14:textFill>
            <w14:solidFill>
              <w14:schemeClr w14:val="tx1"/>
            </w14:solidFill>
          </w14:textFill>
        </w:rPr>
        <w:t>加油区设置</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台双枪税控燃油加油机，加油枪软管上设置</w:t>
      </w:r>
      <w:r>
        <w:rPr>
          <w:rFonts w:hint="eastAsia"/>
          <w:color w:val="000000" w:themeColor="text1"/>
          <w:lang w:val="en-US" w:eastAsia="zh-CN"/>
          <w14:textFill>
            <w14:solidFill>
              <w14:schemeClr w14:val="tx1"/>
            </w14:solidFill>
          </w14:textFill>
        </w:rPr>
        <w:t>了</w:t>
      </w:r>
      <w:r>
        <w:rPr>
          <w:rFonts w:hint="eastAsia"/>
          <w:color w:val="000000" w:themeColor="text1"/>
          <w14:textFill>
            <w14:solidFill>
              <w14:schemeClr w14:val="tx1"/>
            </w14:solidFill>
          </w14:textFill>
        </w:rPr>
        <w:t>安全拉断阀，</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台加油机设置在</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座加油岛上；加油岛宽1.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m，高出站内地坪0.2m</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加油站在加油岛端部设置了0.</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m高防撞栏杆。</w:t>
      </w:r>
      <w:r>
        <w:rPr>
          <w:rFonts w:hint="eastAsia"/>
          <w:color w:val="auto"/>
          <w:highlight w:val="none"/>
        </w:rPr>
        <w:t>加油区</w:t>
      </w:r>
      <w:r>
        <w:rPr>
          <w:rFonts w:hint="eastAsia"/>
          <w:color w:val="auto"/>
          <w:highlight w:val="none"/>
          <w:lang w:val="en-US" w:eastAsia="zh-CN"/>
        </w:rPr>
        <w:t>靠站房侧</w:t>
      </w:r>
      <w:r>
        <w:rPr>
          <w:rFonts w:hint="eastAsia"/>
          <w:color w:val="auto"/>
          <w:highlight w:val="none"/>
        </w:rPr>
        <w:t>单车道宽度</w:t>
      </w:r>
      <w:r>
        <w:rPr>
          <w:rFonts w:hint="eastAsia"/>
          <w:color w:val="auto"/>
          <w:highlight w:val="none"/>
          <w:lang w:val="en-US" w:eastAsia="zh-CN"/>
        </w:rPr>
        <w:t>5.6</w:t>
      </w:r>
      <w:r>
        <w:rPr>
          <w:rFonts w:hint="eastAsia"/>
          <w:color w:val="auto"/>
          <w:highlight w:val="none"/>
        </w:rPr>
        <w:t>m</w:t>
      </w:r>
      <w:r>
        <w:rPr>
          <w:rFonts w:hint="eastAsia"/>
          <w:color w:val="auto"/>
          <w:highlight w:val="none"/>
          <w:lang w:eastAsia="zh-CN"/>
        </w:rPr>
        <w:t>，</w:t>
      </w:r>
      <w:r>
        <w:rPr>
          <w:rFonts w:hint="eastAsia"/>
          <w:color w:val="auto"/>
          <w:highlight w:val="none"/>
          <w:lang w:val="en-US" w:eastAsia="zh-CN"/>
        </w:rPr>
        <w:t>靠绿化带侧单车道为7.5m，</w:t>
      </w:r>
      <w:r>
        <w:rPr>
          <w:rFonts w:hint="eastAsia"/>
          <w:color w:val="auto"/>
          <w:highlight w:val="none"/>
        </w:rPr>
        <w:t>双车道宽度</w:t>
      </w:r>
      <w:r>
        <w:rPr>
          <w:rFonts w:hint="eastAsia"/>
          <w:color w:val="auto"/>
          <w:highlight w:val="none"/>
          <w:lang w:val="en-US" w:eastAsia="zh-CN"/>
        </w:rPr>
        <w:t>7.5</w:t>
      </w:r>
      <w:r>
        <w:rPr>
          <w:rFonts w:hint="eastAsia"/>
          <w:color w:val="auto"/>
          <w:highlight w:val="none"/>
        </w:rPr>
        <w:t>m。</w:t>
      </w:r>
    </w:p>
    <w:p w14:paraId="0E6410CB">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罩棚：</w:t>
      </w:r>
      <w:r>
        <w:rPr>
          <w:rFonts w:hint="eastAsia"/>
          <w:color w:val="000000" w:themeColor="text1"/>
          <w14:textFill>
            <w14:solidFill>
              <w14:schemeClr w14:val="tx1"/>
            </w14:solidFill>
          </w14:textFill>
        </w:rPr>
        <w:t>加油区设置加油罩棚及加油机，加油站罩棚有效高度为</w:t>
      </w:r>
      <w:r>
        <w:rPr>
          <w:rFonts w:hint="eastAsia"/>
          <w:color w:val="000000" w:themeColor="text1"/>
          <w:lang w:val="en-US" w:eastAsia="zh-CN"/>
          <w14:textFill>
            <w14:solidFill>
              <w14:schemeClr w14:val="tx1"/>
            </w14:solidFill>
          </w14:textFill>
        </w:rPr>
        <w:t>6.7</w:t>
      </w:r>
      <w:r>
        <w:rPr>
          <w:rFonts w:hint="eastAsia"/>
          <w:color w:val="000000" w:themeColor="text1"/>
          <w14:textFill>
            <w14:solidFill>
              <w14:schemeClr w14:val="tx1"/>
            </w14:solidFill>
          </w14:textFill>
        </w:rPr>
        <w:t>m，罩棚支柱距加油岛端部</w:t>
      </w:r>
      <w:r>
        <w:rPr>
          <w:rFonts w:hint="eastAsia"/>
          <w:color w:val="000000" w:themeColor="text1"/>
          <w:lang w:val="en-US" w:eastAsia="zh-CN"/>
          <w14:textFill>
            <w14:solidFill>
              <w14:schemeClr w14:val="tx1"/>
            </w14:solidFill>
          </w14:textFill>
        </w:rPr>
        <w:t>0.6</w:t>
      </w:r>
      <w:r>
        <w:rPr>
          <w:rFonts w:hint="eastAsia"/>
          <w:color w:val="000000" w:themeColor="text1"/>
          <w14:textFill>
            <w14:solidFill>
              <w14:schemeClr w14:val="tx1"/>
            </w14:solidFill>
          </w14:textFill>
        </w:rPr>
        <w:t>m。</w:t>
      </w:r>
    </w:p>
    <w:p w14:paraId="18FD7A41">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储油区：</w:t>
      </w:r>
      <w:r>
        <w:rPr>
          <w:rFonts w:hint="eastAsia"/>
          <w:color w:val="000000" w:themeColor="text1"/>
          <w14:textFill>
            <w14:solidFill>
              <w14:schemeClr w14:val="tx1"/>
            </w14:solidFill>
          </w14:textFill>
        </w:rPr>
        <w:t>油罐区设置</w:t>
      </w:r>
      <w:r>
        <w:rPr>
          <w:bCs/>
          <w:color w:val="000000" w:themeColor="text1"/>
          <w14:textFill>
            <w14:solidFill>
              <w14:schemeClr w14:val="tx1"/>
            </w14:solidFill>
          </w14:textFill>
        </w:rPr>
        <w:t>在</w:t>
      </w:r>
      <w:r>
        <w:rPr>
          <w:rFonts w:hint="eastAsia"/>
          <w:bCs/>
          <w:color w:val="000000" w:themeColor="text1"/>
          <w:lang w:val="en-US" w:eastAsia="zh-CN"/>
          <w14:textFill>
            <w14:solidFill>
              <w14:schemeClr w14:val="tx1"/>
            </w14:solidFill>
          </w14:textFill>
        </w:rPr>
        <w:t>站房东北</w:t>
      </w:r>
      <w:r>
        <w:rPr>
          <w:rFonts w:hint="eastAsia"/>
          <w:bCs/>
          <w:color w:val="000000" w:themeColor="text1"/>
          <w14:textFill>
            <w14:solidFill>
              <w14:schemeClr w14:val="tx1"/>
            </w14:solidFill>
          </w14:textFill>
        </w:rPr>
        <w:t>侧</w:t>
      </w:r>
      <w:r>
        <w:rPr>
          <w:rFonts w:hint="eastAsia"/>
          <w:color w:val="000000" w:themeColor="text1"/>
          <w14:textFill>
            <w14:solidFill>
              <w14:schemeClr w14:val="tx1"/>
            </w14:solidFill>
          </w14:textFill>
        </w:rPr>
        <w:t>，设置S</w:t>
      </w:r>
      <w:r>
        <w:rPr>
          <w:color w:val="000000" w:themeColor="text1"/>
          <w14:textFill>
            <w14:solidFill>
              <w14:schemeClr w14:val="tx1"/>
            </w14:solidFill>
          </w14:textFill>
        </w:rPr>
        <w:t>F</w:t>
      </w:r>
      <w:r>
        <w:rPr>
          <w:rFonts w:hint="eastAsia"/>
          <w:color w:val="000000" w:themeColor="text1"/>
          <w14:textFill>
            <w14:solidFill>
              <w14:schemeClr w14:val="tx1"/>
            </w14:solidFill>
          </w14:textFill>
        </w:rPr>
        <w:t>埋地油罐</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个，0#柴油罐</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0m³，92#汽油罐1个30m³，9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#汽油罐1个30m³，油罐总容积</w:t>
      </w:r>
      <w:r>
        <w:rPr>
          <w:rFonts w:hint="eastAsia"/>
          <w:color w:val="000000" w:themeColor="text1"/>
          <w:lang w:val="en-US" w:eastAsia="zh-CN"/>
          <w14:textFill>
            <w14:solidFill>
              <w14:schemeClr w14:val="tx1"/>
            </w14:solidFill>
          </w14:textFill>
        </w:rPr>
        <w:t>为110</w:t>
      </w:r>
      <w:r>
        <w:rPr>
          <w:rFonts w:hint="eastAsia"/>
          <w:color w:val="000000" w:themeColor="text1"/>
          <w14:textFill>
            <w14:solidFill>
              <w14:schemeClr w14:val="tx1"/>
            </w14:solidFill>
          </w14:textFill>
        </w:rPr>
        <w:t>m³，柴油罐容积折半计入油罐总容积为</w:t>
      </w:r>
      <w:r>
        <w:rPr>
          <w:rFonts w:hint="eastAsia"/>
          <w:color w:val="000000" w:themeColor="text1"/>
          <w:lang w:val="en-US" w:eastAsia="zh-CN"/>
          <w14:textFill>
            <w14:solidFill>
              <w14:schemeClr w14:val="tx1"/>
            </w14:solidFill>
          </w14:textFill>
        </w:rPr>
        <w:t>85</w:t>
      </w:r>
      <w:r>
        <w:rPr>
          <w:rFonts w:hint="eastAsia"/>
          <w:color w:val="000000" w:themeColor="text1"/>
          <w14:textFill>
            <w14:solidFill>
              <w14:schemeClr w14:val="tx1"/>
            </w14:solidFill>
          </w14:textFill>
        </w:rPr>
        <w:t>m³</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为三级加油站</w:t>
      </w:r>
      <w:r>
        <w:rPr>
          <w:rFonts w:hint="eastAsia"/>
          <w:color w:val="000000" w:themeColor="text1"/>
          <w14:textFill>
            <w14:solidFill>
              <w14:schemeClr w14:val="tx1"/>
            </w14:solidFill>
          </w14:textFill>
        </w:rPr>
        <w:t>，油罐埋地布置于罐池内，油罐采用防腐处理，油罐间距0.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m，每个油罐单独采用DN50通气管，通气管</w:t>
      </w:r>
      <w:r>
        <w:rPr>
          <w:rFonts w:hint="eastAsia"/>
          <w:color w:val="000000" w:themeColor="text1"/>
          <w:lang w:val="en-US" w:eastAsia="zh-CN"/>
          <w14:textFill>
            <w14:solidFill>
              <w14:schemeClr w14:val="tx1"/>
            </w14:solidFill>
          </w14:textFill>
        </w:rPr>
        <w:t>设置在油罐区内</w:t>
      </w:r>
      <w:r>
        <w:rPr>
          <w:rFonts w:hint="eastAsia"/>
          <w:color w:val="000000" w:themeColor="text1"/>
          <w14:textFill>
            <w14:solidFill>
              <w14:schemeClr w14:val="tx1"/>
            </w14:solidFill>
          </w14:textFill>
        </w:rPr>
        <w:t>，</w:t>
      </w:r>
      <w:r>
        <w:rPr>
          <w:rFonts w:hint="eastAsia"/>
          <w:color w:val="000000" w:themeColor="text1"/>
          <w:szCs w:val="28"/>
          <w14:textFill>
            <w14:solidFill>
              <w14:schemeClr w14:val="tx1"/>
            </w14:solidFill>
          </w14:textFill>
        </w:rPr>
        <w:t>汽油罐通气管管口装设阻火器</w:t>
      </w:r>
      <w:r>
        <w:rPr>
          <w:rFonts w:hint="eastAsia"/>
          <w:lang w:val="en-US" w:eastAsia="zh-CN"/>
        </w:rPr>
        <w:t>和呼吸阀</w:t>
      </w:r>
      <w:r>
        <w:rPr>
          <w:rFonts w:hint="eastAsia"/>
          <w:color w:val="000000" w:themeColor="text1"/>
          <w:szCs w:val="28"/>
          <w14:textFill>
            <w14:solidFill>
              <w14:schemeClr w14:val="tx1"/>
            </w14:solidFill>
          </w14:textFill>
        </w:rPr>
        <w:t>，柴油罐通气管管口装设阻火器。每个油罐均设置了检测立管，设置防渗漏报警装置，每个油罐均设置了液位仪，防渗漏报警信号和液位报警信号均引至站房办公室。加油站在爆炸危险区域内工艺管道上法兰两端等连接处，均用铜片跨接。</w:t>
      </w:r>
      <w:r>
        <w:rPr>
          <w:rFonts w:hint="eastAsia"/>
          <w:color w:val="000000" w:themeColor="text1"/>
          <w14:textFill>
            <w14:solidFill>
              <w14:schemeClr w14:val="tx1"/>
            </w14:solidFill>
          </w14:textFill>
        </w:rPr>
        <w:t>每个油罐单独设置人孔操作井，油罐区设置了观察井。</w:t>
      </w:r>
    </w:p>
    <w:p w14:paraId="4897411E">
      <w:pPr>
        <w:keepNext w:val="0"/>
        <w:keepLines w:val="0"/>
        <w:pageBreakBefore w:val="0"/>
        <w:widowControl w:val="0"/>
        <w:kinsoku w:val="0"/>
        <w:wordWrap/>
        <w:overflowPunct w:val="0"/>
        <w:topLinePunct w:val="0"/>
        <w:autoSpaceDE/>
        <w:autoSpaceDN/>
        <w:bidi w:val="0"/>
        <w:adjustRightInd/>
        <w:snapToGrid/>
        <w:textAlignment w:val="auto"/>
        <w:rPr>
          <w:color w:val="000000" w:themeColor="text1"/>
          <w14:textFill>
            <w14:solidFill>
              <w14:schemeClr w14:val="tx1"/>
            </w14:solidFill>
          </w14:textFill>
        </w:rPr>
      </w:pPr>
      <w:r>
        <w:rPr>
          <w:rFonts w:hint="eastAsia"/>
          <w:color w:val="000000" w:themeColor="text1"/>
          <w:szCs w:val="28"/>
          <w14:textFill>
            <w14:solidFill>
              <w14:schemeClr w14:val="tx1"/>
            </w14:solidFill>
          </w14:textFill>
        </w:rPr>
        <w:t>在油罐区</w:t>
      </w:r>
      <w:r>
        <w:rPr>
          <w:rFonts w:hint="eastAsia"/>
          <w:color w:val="000000" w:themeColor="text1"/>
          <w:szCs w:val="28"/>
          <w:lang w:val="en-US" w:eastAsia="zh-CN"/>
          <w14:textFill>
            <w14:solidFill>
              <w14:schemeClr w14:val="tx1"/>
            </w14:solidFill>
          </w14:textFill>
        </w:rPr>
        <w:t>西侧</w:t>
      </w:r>
      <w:r>
        <w:rPr>
          <w:rFonts w:hint="eastAsia"/>
          <w:color w:val="000000" w:themeColor="text1"/>
          <w:szCs w:val="28"/>
          <w14:textFill>
            <w14:solidFill>
              <w14:schemeClr w14:val="tx1"/>
            </w14:solidFill>
          </w14:textFill>
        </w:rPr>
        <w:t>设置密闭卸油点，密闭卸油点设置了</w:t>
      </w:r>
      <w:r>
        <w:rPr>
          <w:rFonts w:hint="eastAsia"/>
          <w:color w:val="000000" w:themeColor="text1"/>
          <w:szCs w:val="28"/>
          <w:lang w:val="en-US" w:eastAsia="zh-CN"/>
          <w14:textFill>
            <w14:solidFill>
              <w14:schemeClr w14:val="tx1"/>
            </w14:solidFill>
          </w14:textFill>
        </w:rPr>
        <w:t>3</w:t>
      </w:r>
      <w:r>
        <w:rPr>
          <w:rFonts w:hint="eastAsia"/>
          <w:color w:val="000000" w:themeColor="text1"/>
          <w:szCs w:val="28"/>
          <w14:textFill>
            <w14:solidFill>
              <w14:schemeClr w14:val="tx1"/>
            </w14:solidFill>
          </w14:textFill>
        </w:rPr>
        <w:t>个卸油口和1个汽油卸油油气回收管口，密闭卸油点与汽、柴油通气管的距离均大于3m（规范：汽油通气管与密闭卸油点为3m，柴油为2m），卸油口配备有静电夹及人体静电导除桩。密闭卸油口，每个油罐各自设置卸油接口，接口上有明显的油品标识。卸油接口装设快速接头及密封盖。在卸油</w:t>
      </w:r>
      <w:r>
        <w:rPr>
          <w:rFonts w:hint="eastAsia"/>
          <w:color w:val="000000" w:themeColor="text1"/>
          <w:szCs w:val="28"/>
          <w:lang w:val="en-US" w:eastAsia="zh-CN"/>
          <w14:textFill>
            <w14:solidFill>
              <w14:schemeClr w14:val="tx1"/>
            </w14:solidFill>
          </w14:textFill>
        </w:rPr>
        <w:t>区设置</w:t>
      </w:r>
      <w:r>
        <w:rPr>
          <w:rFonts w:hint="eastAsia"/>
          <w:color w:val="000000" w:themeColor="text1"/>
          <w:szCs w:val="28"/>
          <w14:textFill>
            <w14:solidFill>
              <w14:schemeClr w14:val="tx1"/>
            </w14:solidFill>
          </w14:textFill>
        </w:rPr>
        <w:t>有2m³消防沙</w:t>
      </w:r>
      <w:r>
        <w:rPr>
          <w:rFonts w:hint="eastAsia"/>
          <w:color w:val="000000" w:themeColor="text1"/>
          <w:szCs w:val="28"/>
          <w:lang w:val="en-US" w:eastAsia="zh-CN"/>
          <w14:textFill>
            <w14:solidFill>
              <w14:schemeClr w14:val="tx1"/>
            </w14:solidFill>
          </w14:textFill>
        </w:rPr>
        <w:t>池</w:t>
      </w:r>
      <w:r>
        <w:rPr>
          <w:rFonts w:hint="eastAsia"/>
          <w:color w:val="000000" w:themeColor="text1"/>
          <w:szCs w:val="28"/>
          <w14:textFill>
            <w14:solidFill>
              <w14:schemeClr w14:val="tx1"/>
            </w14:solidFill>
          </w14:textFill>
        </w:rPr>
        <w:t>、消防</w:t>
      </w:r>
      <w:r>
        <w:rPr>
          <w:rFonts w:hint="eastAsia"/>
          <w:color w:val="000000" w:themeColor="text1"/>
          <w:szCs w:val="28"/>
          <w:lang w:val="en-US" w:eastAsia="zh-CN"/>
          <w14:textFill>
            <w14:solidFill>
              <w14:schemeClr w14:val="tx1"/>
            </w14:solidFill>
          </w14:textFill>
        </w:rPr>
        <w:t>器材放置点</w:t>
      </w:r>
      <w:r>
        <w:rPr>
          <w:rFonts w:hint="eastAsia"/>
          <w:color w:val="000000" w:themeColor="text1"/>
          <w:szCs w:val="28"/>
          <w14:textFill>
            <w14:solidFill>
              <w14:schemeClr w14:val="tx1"/>
            </w14:solidFill>
          </w14:textFill>
        </w:rPr>
        <w:t>。</w:t>
      </w:r>
    </w:p>
    <w:p w14:paraId="77EFFC6C">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站房：</w:t>
      </w:r>
      <w:r>
        <w:rPr>
          <w:rFonts w:hint="eastAsia"/>
          <w:color w:val="000000" w:themeColor="text1"/>
          <w:szCs w:val="28"/>
          <w14:textFill>
            <w14:solidFill>
              <w14:schemeClr w14:val="tx1"/>
            </w14:solidFill>
          </w14:textFill>
        </w:rPr>
        <w:t>站房</w:t>
      </w:r>
      <w:r>
        <w:rPr>
          <w:rFonts w:hint="eastAsia"/>
          <w:color w:val="000000" w:themeColor="text1"/>
          <w14:textFill>
            <w14:solidFill>
              <w14:schemeClr w14:val="tx1"/>
            </w14:solidFill>
          </w14:textFill>
        </w:rPr>
        <w:t>为一栋</w:t>
      </w:r>
      <w:r>
        <w:rPr>
          <w:rFonts w:hint="eastAsia"/>
          <w:color w:val="000000" w:themeColor="text1"/>
          <w:lang w:val="en-US" w:eastAsia="zh-CN"/>
          <w14:textFill>
            <w14:solidFill>
              <w14:schemeClr w14:val="tx1"/>
            </w14:solidFill>
          </w14:textFill>
        </w:rPr>
        <w:t>单</w:t>
      </w:r>
      <w:r>
        <w:rPr>
          <w:rFonts w:hint="eastAsia"/>
          <w:color w:val="000000" w:themeColor="text1"/>
          <w14:textFill>
            <w14:solidFill>
              <w14:schemeClr w14:val="tx1"/>
            </w14:solidFill>
          </w14:textFill>
        </w:rPr>
        <w:t>层砖混结构建筑，耐火等级为二级，布置有</w:t>
      </w:r>
      <w:r>
        <w:rPr>
          <w:rFonts w:hint="eastAsia"/>
          <w:color w:val="000000" w:themeColor="text1"/>
          <w:lang w:val="en-US" w:eastAsia="zh-CN"/>
          <w14:textFill>
            <w14:solidFill>
              <w14:schemeClr w14:val="tx1"/>
            </w14:solidFill>
          </w14:textFill>
        </w:rPr>
        <w:t>收银室、办公室、值班室</w:t>
      </w:r>
      <w:r>
        <w:rPr>
          <w:rFonts w:hint="eastAsia"/>
          <w:color w:val="000000" w:themeColor="text1"/>
          <w14:textFill>
            <w14:solidFill>
              <w14:schemeClr w14:val="tx1"/>
            </w14:solidFill>
          </w14:textFill>
        </w:rPr>
        <w:t>等。</w:t>
      </w:r>
    </w:p>
    <w:p w14:paraId="51F10E2F">
      <w:pPr>
        <w:keepNext w:val="0"/>
        <w:keepLines w:val="0"/>
        <w:pageBreakBefore w:val="0"/>
        <w:widowControl w:val="0"/>
        <w:wordWrap/>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辅房：</w:t>
      </w:r>
      <w:r>
        <w:rPr>
          <w:rFonts w:hint="eastAsia"/>
          <w:color w:val="000000" w:themeColor="text1"/>
          <w:szCs w:val="28"/>
          <w:lang w:val="en-US" w:eastAsia="zh-CN"/>
          <w14:textFill>
            <w14:solidFill>
              <w14:schemeClr w14:val="tx1"/>
            </w14:solidFill>
          </w14:textFill>
        </w:rPr>
        <w:t>辅房设置在站区南侧</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为单层建筑，一栋设置有厨房、洗浴、配电室、发电机房；一栋为单层卫生间；加油站南侧靠入口侧设置了一套洗车设施。</w:t>
      </w:r>
    </w:p>
    <w:p w14:paraId="56B17DC0">
      <w:pPr>
        <w:keepNext w:val="0"/>
        <w:keepLines w:val="0"/>
        <w:pageBreakBefore w:val="0"/>
        <w:widowControl w:val="0"/>
        <w:wordWrap/>
        <w:topLinePunct w:val="0"/>
        <w:autoSpaceDE/>
        <w:autoSpaceDN/>
        <w:bidi w:val="0"/>
        <w:adjustRightInd/>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配电室</w:t>
      </w:r>
      <w:r>
        <w:rPr>
          <w:rFonts w:hint="eastAsia"/>
          <w:color w:val="000000" w:themeColor="text1"/>
          <w14:textFill>
            <w14:solidFill>
              <w14:schemeClr w14:val="tx1"/>
            </w14:solidFill>
          </w14:textFill>
        </w:rPr>
        <w:t>配置配电柜一台，</w:t>
      </w:r>
      <w:r>
        <w:rPr>
          <w:rFonts w:hint="eastAsia"/>
          <w:color w:val="000000" w:themeColor="text1"/>
          <w:lang w:val="en-US" w:eastAsia="zh-CN"/>
          <w14:textFill>
            <w14:solidFill>
              <w14:schemeClr w14:val="tx1"/>
            </w14:solidFill>
          </w14:textFill>
        </w:rPr>
        <w:t>房门为</w:t>
      </w:r>
      <w:r>
        <w:rPr>
          <w:rFonts w:hint="eastAsia"/>
          <w:color w:val="000000" w:themeColor="text1"/>
          <w14:textFill>
            <w14:solidFill>
              <w14:schemeClr w14:val="tx1"/>
            </w14:solidFill>
          </w14:textFill>
        </w:rPr>
        <w:t>外开门，配电柜前设置有绝缘胶垫及安全警示标志</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配备有二氧化碳灭火器、绝缘鞋、绝缘手套</w:t>
      </w:r>
      <w:r>
        <w:rPr>
          <w:rFonts w:hint="eastAsia"/>
          <w:color w:val="000000" w:themeColor="text1"/>
          <w14:textFill>
            <w14:solidFill>
              <w14:schemeClr w14:val="tx1"/>
            </w14:solidFill>
          </w14:textFill>
        </w:rPr>
        <w:t>。</w:t>
      </w:r>
    </w:p>
    <w:p w14:paraId="21A0B644">
      <w:pPr>
        <w:keepNext w:val="0"/>
        <w:keepLines w:val="0"/>
        <w:pageBreakBefore w:val="0"/>
        <w:widowControl w:val="0"/>
        <w:wordWrap/>
        <w:topLinePunct w:val="0"/>
        <w:autoSpaceDE/>
        <w:autoSpaceDN/>
        <w:bidi w:val="0"/>
        <w:adjustRightInd/>
        <w:textAlignment w:val="auto"/>
        <w:rPr>
          <w:color w:val="000000" w:themeColor="text1"/>
          <w14:textFill>
            <w14:solidFill>
              <w14:schemeClr w14:val="tx1"/>
            </w14:solidFill>
          </w14:textFill>
        </w:rPr>
      </w:pPr>
      <w:r>
        <w:rPr>
          <w:color w:val="000000" w:themeColor="text1"/>
          <w14:textFill>
            <w14:solidFill>
              <w14:schemeClr w14:val="tx1"/>
            </w14:solidFill>
          </w14:textFill>
        </w:rPr>
        <w:t>发电机房设置了一台功率为</w:t>
      </w:r>
      <w:r>
        <w:rPr>
          <w:rFonts w:hint="eastAsia"/>
          <w:color w:val="000000" w:themeColor="text1"/>
          <w:lang w:val="en-US" w:eastAsia="zh-CN"/>
          <w14:textFill>
            <w14:solidFill>
              <w14:schemeClr w14:val="tx1"/>
            </w14:solidFill>
          </w14:textFill>
        </w:rPr>
        <w:t>8.5kW</w:t>
      </w:r>
      <w:r>
        <w:rPr>
          <w:color w:val="000000" w:themeColor="text1"/>
          <w14:textFill>
            <w14:solidFill>
              <w14:schemeClr w14:val="tx1"/>
            </w14:solidFill>
          </w14:textFill>
        </w:rPr>
        <w:t>的柴油发电机</w:t>
      </w:r>
      <w:r>
        <w:rPr>
          <w:rFonts w:hint="eastAsia"/>
          <w:color w:val="000000" w:themeColor="text1"/>
          <w:lang w:val="en-US" w:eastAsia="zh-CN"/>
          <w14:textFill>
            <w14:solidFill>
              <w14:schemeClr w14:val="tx1"/>
            </w14:solidFill>
          </w14:textFill>
        </w:rPr>
        <w:t>作</w:t>
      </w:r>
      <w:r>
        <w:rPr>
          <w:color w:val="000000" w:themeColor="text1"/>
          <w14:textFill>
            <w14:solidFill>
              <w14:schemeClr w14:val="tx1"/>
            </w14:solidFill>
          </w14:textFill>
        </w:rPr>
        <w:t>为备用电源，</w:t>
      </w:r>
      <w:r>
        <w:rPr>
          <w:rFonts w:hint="eastAsia"/>
          <w:color w:val="000000" w:themeColor="text1"/>
          <w:lang w:val="en-US" w:eastAsia="zh-CN"/>
          <w14:textFill>
            <w14:solidFill>
              <w14:schemeClr w14:val="tx1"/>
            </w14:solidFill>
          </w14:textFill>
        </w:rPr>
        <w:t>排烟管按要求伸出户外</w:t>
      </w:r>
      <w:r>
        <w:rPr>
          <w:color w:val="000000" w:themeColor="text1"/>
          <w14:textFill>
            <w14:solidFill>
              <w14:schemeClr w14:val="tx1"/>
            </w14:solidFill>
          </w14:textFill>
        </w:rPr>
        <w:t>，排烟管</w:t>
      </w:r>
      <w:r>
        <w:rPr>
          <w:rFonts w:hint="eastAsia"/>
          <w:color w:val="000000" w:themeColor="text1"/>
          <w:lang w:val="en-US" w:eastAsia="zh-CN"/>
          <w14:textFill>
            <w14:solidFill>
              <w14:schemeClr w14:val="tx1"/>
            </w14:solidFill>
          </w14:textFill>
        </w:rPr>
        <w:t>口</w:t>
      </w:r>
      <w:r>
        <w:rPr>
          <w:color w:val="000000" w:themeColor="text1"/>
          <w14:textFill>
            <w14:solidFill>
              <w14:schemeClr w14:val="tx1"/>
            </w14:solidFill>
          </w14:textFill>
        </w:rPr>
        <w:t>装设阻火器</w:t>
      </w:r>
      <w:r>
        <w:rPr>
          <w:rFonts w:hint="eastAsia"/>
          <w:color w:val="000000" w:themeColor="text1"/>
          <w14:textFill>
            <w14:solidFill>
              <w14:schemeClr w14:val="tx1"/>
            </w14:solidFill>
          </w14:textFill>
        </w:rPr>
        <w:t>。</w:t>
      </w:r>
    </w:p>
    <w:p w14:paraId="3F87BE5D">
      <w:pPr>
        <w:keepNext w:val="0"/>
        <w:keepLines w:val="0"/>
        <w:pageBreakBefore w:val="0"/>
        <w:widowControl w:val="0"/>
        <w:wordWrap/>
        <w:topLinePunct w:val="0"/>
        <w:autoSpaceDE/>
        <w:autoSpaceDN/>
        <w:bidi w:val="0"/>
        <w:adjustRightInd/>
        <w:snapToGrid/>
        <w:ind w:firstLine="562"/>
        <w:textAlignment w:val="auto"/>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站区道路及出入口设置情况：</w:t>
      </w: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西北</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设置了“入口”，西南</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设置了“出口”</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站内设置两条单车道和一条双车道，</w:t>
      </w:r>
      <w:r>
        <w:rPr>
          <w:rFonts w:hint="eastAsia"/>
          <w:color w:val="auto"/>
          <w:highlight w:val="none"/>
        </w:rPr>
        <w:t>加油区</w:t>
      </w:r>
      <w:r>
        <w:rPr>
          <w:rFonts w:hint="eastAsia"/>
          <w:color w:val="auto"/>
          <w:highlight w:val="none"/>
          <w:lang w:val="en-US" w:eastAsia="zh-CN"/>
        </w:rPr>
        <w:t>靠站房侧</w:t>
      </w:r>
      <w:r>
        <w:rPr>
          <w:rFonts w:hint="eastAsia"/>
          <w:color w:val="auto"/>
          <w:highlight w:val="none"/>
        </w:rPr>
        <w:t>单车道宽度</w:t>
      </w:r>
      <w:r>
        <w:rPr>
          <w:rFonts w:hint="eastAsia"/>
          <w:color w:val="auto"/>
          <w:highlight w:val="none"/>
          <w:lang w:val="en-US" w:eastAsia="zh-CN"/>
        </w:rPr>
        <w:t>5.6</w:t>
      </w:r>
      <w:r>
        <w:rPr>
          <w:rFonts w:hint="eastAsia"/>
          <w:color w:val="auto"/>
          <w:highlight w:val="none"/>
        </w:rPr>
        <w:t>m</w:t>
      </w:r>
      <w:r>
        <w:rPr>
          <w:rFonts w:hint="eastAsia"/>
          <w:color w:val="auto"/>
          <w:highlight w:val="none"/>
          <w:lang w:eastAsia="zh-CN"/>
        </w:rPr>
        <w:t>，</w:t>
      </w:r>
      <w:r>
        <w:rPr>
          <w:rFonts w:hint="eastAsia"/>
          <w:color w:val="auto"/>
          <w:highlight w:val="none"/>
          <w:lang w:val="en-US" w:eastAsia="zh-CN"/>
        </w:rPr>
        <w:t>靠绿化带侧单车道为7.5m，</w:t>
      </w:r>
      <w:r>
        <w:rPr>
          <w:rFonts w:hint="eastAsia"/>
          <w:color w:val="auto"/>
          <w:highlight w:val="none"/>
        </w:rPr>
        <w:t>双车道宽度</w:t>
      </w:r>
      <w:r>
        <w:rPr>
          <w:rFonts w:hint="eastAsia"/>
          <w:color w:val="auto"/>
          <w:highlight w:val="none"/>
          <w:lang w:val="en-US" w:eastAsia="zh-CN"/>
        </w:rPr>
        <w:t>7.5</w:t>
      </w:r>
      <w:r>
        <w:rPr>
          <w:rFonts w:hint="eastAsia"/>
          <w:color w:val="auto"/>
          <w:highlight w:val="none"/>
        </w:rPr>
        <w:t>m</w:t>
      </w:r>
      <w:r>
        <w:rPr>
          <w:rFonts w:hint="eastAsia"/>
          <w:color w:val="auto"/>
          <w:highlight w:val="none"/>
          <w:lang w:eastAsia="zh-CN"/>
        </w:rPr>
        <w:t>。</w:t>
      </w:r>
      <w:r>
        <w:rPr>
          <w:rFonts w:hint="eastAsia"/>
          <w:color w:val="000000" w:themeColor="text1"/>
          <w:szCs w:val="28"/>
          <w14:textFill>
            <w14:solidFill>
              <w14:schemeClr w14:val="tx1"/>
            </w14:solidFill>
          </w14:textFill>
        </w:rPr>
        <w:t>站内路面为水泥路面</w:t>
      </w:r>
      <w:r>
        <w:rPr>
          <w:rFonts w:hint="eastAsia"/>
          <w:color w:val="000000" w:themeColor="text1"/>
          <w:szCs w:val="28"/>
          <w:lang w:eastAsia="zh-CN"/>
          <w14:textFill>
            <w14:solidFill>
              <w14:schemeClr w14:val="tx1"/>
            </w14:solidFill>
          </w14:textFill>
        </w:rPr>
        <w:t>；</w:t>
      </w:r>
      <w:r>
        <w:rPr>
          <w:rFonts w:hint="eastAsia"/>
          <w:color w:val="000000" w:themeColor="text1"/>
          <w:szCs w:val="28"/>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面向公路一侧设置有绿化带与外界隔离</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加油站除临公路侧外，北面、东面、南面均</w:t>
      </w:r>
      <w:r>
        <w:rPr>
          <w:rFonts w:hint="eastAsia"/>
          <w:color w:val="000000" w:themeColor="text1"/>
          <w:szCs w:val="28"/>
          <w14:textFill>
            <w14:solidFill>
              <w14:schemeClr w14:val="tx1"/>
            </w14:solidFill>
          </w14:textFill>
        </w:rPr>
        <w:t>设置</w:t>
      </w:r>
      <w:r>
        <w:rPr>
          <w:rFonts w:hint="eastAsia"/>
          <w:color w:val="000000" w:themeColor="text1"/>
          <w:szCs w:val="28"/>
          <w:lang w:val="en-US" w:eastAsia="zh-CN"/>
          <w14:textFill>
            <w14:solidFill>
              <w14:schemeClr w14:val="tx1"/>
            </w14:solidFill>
          </w14:textFill>
        </w:rPr>
        <w:t>了</w:t>
      </w:r>
      <w:r>
        <w:rPr>
          <w:rFonts w:hint="eastAsia"/>
          <w:color w:val="000000" w:themeColor="text1"/>
          <w:szCs w:val="28"/>
          <w14:textFill>
            <w14:solidFill>
              <w14:schemeClr w14:val="tx1"/>
            </w14:solidFill>
          </w14:textFill>
        </w:rPr>
        <w:t>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w:t>
      </w:r>
    </w:p>
    <w:p w14:paraId="5E8C8938">
      <w:pPr>
        <w:keepNext w:val="0"/>
        <w:keepLines w:val="0"/>
        <w:pageBreakBefore w:val="0"/>
        <w:widowControl w:val="0"/>
        <w:wordWrap/>
        <w:topLinePunct w:val="0"/>
        <w:autoSpaceDE/>
        <w:autoSpaceDN/>
        <w:bidi w:val="0"/>
        <w:adjustRightInd/>
        <w:snapToGrid/>
        <w:ind w:firstLine="562"/>
        <w:textAlignment w:val="auto"/>
        <w:rPr>
          <w:rFonts w:hint="eastAsia"/>
          <w:color w:val="000000" w:themeColor="text1"/>
          <w:szCs w:val="28"/>
          <w:lang w:val="en-US" w:eastAsia="zh-CN"/>
          <w14:textFill>
            <w14:solidFill>
              <w14:schemeClr w14:val="tx1"/>
            </w14:solidFill>
          </w14:textFill>
        </w:rPr>
      </w:pPr>
      <w:r>
        <w:rPr>
          <w:rFonts w:hint="eastAsia"/>
          <w:b/>
          <w:bCs/>
          <w:color w:val="000000" w:themeColor="text1"/>
          <w:szCs w:val="28"/>
          <w14:textFill>
            <w14:solidFill>
              <w14:schemeClr w14:val="tx1"/>
            </w14:solidFill>
          </w14:textFill>
        </w:rPr>
        <w:t>工艺管线布置</w:t>
      </w:r>
      <w:r>
        <w:rPr>
          <w:rFonts w:hint="eastAsia"/>
          <w:b/>
          <w:color w:val="000000" w:themeColor="text1"/>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站内工艺管道采取埋地敷设，深埋不小于0.4m，卸油管道、油气回收管道、通气管道采用输送流体无缝钢管，金属管道在埋地前采取加强级防腐处理，与油罐相连的进油管、通气管横管均坡向油罐，坡度不小于2‰。加油管道采用双层复合管道，在加油站入口一侧的绿化带旁设置油水分离池（隔油池）。</w:t>
      </w:r>
    </w:p>
    <w:p w14:paraId="2FFF6379">
      <w:pPr>
        <w:keepNext w:val="0"/>
        <w:keepLines w:val="0"/>
        <w:pageBreakBefore w:val="0"/>
        <w:widowControl w:val="0"/>
        <w:wordWrap/>
        <w:topLinePunct w:val="0"/>
        <w:autoSpaceDE/>
        <w:autoSpaceDN/>
        <w:bidi w:val="0"/>
        <w:adjustRightInd/>
        <w:snapToGrid/>
        <w:ind w:firstLine="562"/>
        <w:textAlignment w:val="auto"/>
        <w:rPr>
          <w:rFonts w:hint="eastAsia"/>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加油站站内设施之间的防火距离如表2-3，加油站平面布置详见图2-3。</w:t>
      </w:r>
    </w:p>
    <w:p w14:paraId="27C2DB4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b/>
          <w:bCs/>
          <w:snapToGrid w:val="0"/>
          <w:color w:val="000000" w:themeColor="text1"/>
          <w:kern w:val="0"/>
          <w:szCs w:val="28"/>
          <w:lang w:eastAsia="zh-CN"/>
          <w14:textFill>
            <w14:solidFill>
              <w14:schemeClr w14:val="tx1"/>
            </w14:solidFill>
          </w14:textFill>
        </w:rPr>
      </w:pPr>
      <w:r>
        <w:rPr>
          <w:rFonts w:hint="eastAsia" w:eastAsia="宋体"/>
          <w:b/>
          <w:bCs/>
          <w:snapToGrid w:val="0"/>
          <w:color w:val="000000" w:themeColor="text1"/>
          <w:kern w:val="0"/>
          <w:szCs w:val="28"/>
          <w:lang w:eastAsia="zh-CN"/>
          <w14:textFill>
            <w14:solidFill>
              <w14:schemeClr w14:val="tx1"/>
            </w14:solidFill>
          </w14:textFill>
        </w:rPr>
        <w:drawing>
          <wp:inline distT="0" distB="0" distL="114300" distR="114300">
            <wp:extent cx="5760085" cy="5760085"/>
            <wp:effectExtent l="0" t="0" r="635" b="635"/>
            <wp:docPr id="13" name="图片 13" descr="微信图片_20241029155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41029155433"/>
                    <pic:cNvPicPr>
                      <a:picLocks noChangeAspect="1"/>
                    </pic:cNvPicPr>
                  </pic:nvPicPr>
                  <pic:blipFill>
                    <a:blip r:embed="rId42">
                      <a:lum bright="6000"/>
                    </a:blip>
                    <a:srcRect l="8283" t="5133" r="7102" b="36665"/>
                    <a:stretch>
                      <a:fillRect/>
                    </a:stretch>
                  </pic:blipFill>
                  <pic:spPr>
                    <a:xfrm>
                      <a:off x="0" y="0"/>
                      <a:ext cx="5760085" cy="5760085"/>
                    </a:xfrm>
                    <a:prstGeom prst="rect">
                      <a:avLst/>
                    </a:prstGeom>
                  </pic:spPr>
                </pic:pic>
              </a:graphicData>
            </a:graphic>
          </wp:inline>
        </w:drawing>
      </w:r>
    </w:p>
    <w:p w14:paraId="0DA6B2FA">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加油站平面布置示意图</w:t>
      </w:r>
    </w:p>
    <w:p w14:paraId="085E19AA">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表2-3 站内设施的防火间距（单位：m）</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37"/>
        <w:gridCol w:w="951"/>
        <w:gridCol w:w="775"/>
        <w:gridCol w:w="785"/>
        <w:gridCol w:w="982"/>
        <w:gridCol w:w="993"/>
        <w:gridCol w:w="741"/>
        <w:gridCol w:w="655"/>
        <w:gridCol w:w="774"/>
        <w:gridCol w:w="796"/>
        <w:gridCol w:w="582"/>
      </w:tblGrid>
      <w:tr w14:paraId="7B75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blHeader/>
          <w:jc w:val="center"/>
        </w:trPr>
        <w:tc>
          <w:tcPr>
            <w:tcW w:w="1988" w:type="dxa"/>
            <w:gridSpan w:val="2"/>
            <w:noWrap w:val="0"/>
            <w:vAlign w:val="center"/>
          </w:tcPr>
          <w:p w14:paraId="41E4B353">
            <w:pPr>
              <w:pStyle w:val="92"/>
              <w:bidi w:val="0"/>
              <w:rPr>
                <w:rFonts w:hint="eastAsia"/>
                <w:b/>
                <w:bCs/>
                <w:color w:val="auto"/>
                <w:highlight w:val="none"/>
              </w:rPr>
            </w:pPr>
            <w:r>
              <w:rPr>
                <w:rFonts w:hint="eastAsia"/>
                <w:b/>
                <w:bCs/>
                <w:color w:val="auto"/>
                <w:highlight w:val="none"/>
              </w:rPr>
              <w:t>设施名称</w:t>
            </w:r>
          </w:p>
        </w:tc>
        <w:tc>
          <w:tcPr>
            <w:tcW w:w="775" w:type="dxa"/>
            <w:noWrap w:val="0"/>
            <w:vAlign w:val="center"/>
          </w:tcPr>
          <w:p w14:paraId="598F478C">
            <w:pPr>
              <w:pStyle w:val="92"/>
              <w:bidi w:val="0"/>
              <w:rPr>
                <w:b/>
                <w:bCs/>
                <w:color w:val="auto"/>
                <w:highlight w:val="none"/>
              </w:rPr>
            </w:pPr>
            <w:r>
              <w:rPr>
                <w:rFonts w:hint="eastAsia"/>
                <w:b/>
                <w:bCs/>
                <w:color w:val="auto"/>
                <w:highlight w:val="none"/>
              </w:rPr>
              <w:t>汽油罐</w:t>
            </w:r>
          </w:p>
        </w:tc>
        <w:tc>
          <w:tcPr>
            <w:tcW w:w="785" w:type="dxa"/>
            <w:noWrap w:val="0"/>
            <w:vAlign w:val="center"/>
          </w:tcPr>
          <w:p w14:paraId="4034859A">
            <w:pPr>
              <w:pStyle w:val="92"/>
              <w:bidi w:val="0"/>
              <w:rPr>
                <w:b/>
                <w:bCs/>
                <w:color w:val="auto"/>
                <w:highlight w:val="none"/>
              </w:rPr>
            </w:pPr>
            <w:r>
              <w:rPr>
                <w:rFonts w:hint="eastAsia"/>
                <w:b/>
                <w:bCs/>
                <w:color w:val="auto"/>
                <w:highlight w:val="none"/>
              </w:rPr>
              <w:t>柴油罐</w:t>
            </w:r>
          </w:p>
        </w:tc>
        <w:tc>
          <w:tcPr>
            <w:tcW w:w="982" w:type="dxa"/>
            <w:noWrap w:val="0"/>
            <w:vAlign w:val="center"/>
          </w:tcPr>
          <w:p w14:paraId="055F936A">
            <w:pPr>
              <w:pStyle w:val="92"/>
              <w:bidi w:val="0"/>
              <w:rPr>
                <w:b/>
                <w:bCs/>
                <w:color w:val="auto"/>
                <w:highlight w:val="none"/>
              </w:rPr>
            </w:pPr>
            <w:r>
              <w:rPr>
                <w:rFonts w:hint="eastAsia"/>
                <w:b/>
                <w:bCs/>
                <w:color w:val="auto"/>
                <w:highlight w:val="none"/>
              </w:rPr>
              <w:t>汽油通气管管口</w:t>
            </w:r>
          </w:p>
        </w:tc>
        <w:tc>
          <w:tcPr>
            <w:tcW w:w="993" w:type="dxa"/>
            <w:noWrap w:val="0"/>
            <w:vAlign w:val="center"/>
          </w:tcPr>
          <w:p w14:paraId="05573F1F">
            <w:pPr>
              <w:pStyle w:val="92"/>
              <w:bidi w:val="0"/>
              <w:rPr>
                <w:b/>
                <w:bCs/>
                <w:color w:val="auto"/>
                <w:highlight w:val="none"/>
              </w:rPr>
            </w:pPr>
            <w:r>
              <w:rPr>
                <w:rFonts w:hint="eastAsia"/>
                <w:b/>
                <w:bCs/>
                <w:color w:val="auto"/>
                <w:highlight w:val="none"/>
              </w:rPr>
              <w:t>柴油通气管管口</w:t>
            </w:r>
          </w:p>
        </w:tc>
        <w:tc>
          <w:tcPr>
            <w:tcW w:w="741" w:type="dxa"/>
            <w:noWrap w:val="0"/>
            <w:vAlign w:val="center"/>
          </w:tcPr>
          <w:p w14:paraId="53AC3A98">
            <w:pPr>
              <w:pStyle w:val="92"/>
              <w:bidi w:val="0"/>
              <w:rPr>
                <w:rFonts w:hint="eastAsia"/>
                <w:b/>
                <w:bCs/>
                <w:color w:val="auto"/>
                <w:highlight w:val="none"/>
              </w:rPr>
            </w:pPr>
            <w:r>
              <w:rPr>
                <w:rFonts w:hint="eastAsia"/>
                <w:b/>
                <w:bCs/>
                <w:color w:val="auto"/>
                <w:highlight w:val="none"/>
              </w:rPr>
              <w:t>油品卸车点</w:t>
            </w:r>
          </w:p>
        </w:tc>
        <w:tc>
          <w:tcPr>
            <w:tcW w:w="655" w:type="dxa"/>
            <w:noWrap w:val="0"/>
            <w:vAlign w:val="center"/>
          </w:tcPr>
          <w:p w14:paraId="4B5F8742">
            <w:pPr>
              <w:pStyle w:val="92"/>
              <w:bidi w:val="0"/>
              <w:rPr>
                <w:b/>
                <w:bCs/>
                <w:color w:val="auto"/>
                <w:highlight w:val="none"/>
              </w:rPr>
            </w:pPr>
            <w:r>
              <w:rPr>
                <w:rFonts w:hint="eastAsia"/>
                <w:b/>
                <w:bCs/>
                <w:color w:val="auto"/>
                <w:highlight w:val="none"/>
              </w:rPr>
              <w:t>加油机</w:t>
            </w:r>
          </w:p>
        </w:tc>
        <w:tc>
          <w:tcPr>
            <w:tcW w:w="774" w:type="dxa"/>
            <w:noWrap w:val="0"/>
            <w:vAlign w:val="center"/>
          </w:tcPr>
          <w:p w14:paraId="23770B5F">
            <w:pPr>
              <w:pStyle w:val="92"/>
              <w:bidi w:val="0"/>
              <w:rPr>
                <w:b/>
                <w:bCs/>
                <w:color w:val="auto"/>
                <w:highlight w:val="none"/>
              </w:rPr>
            </w:pPr>
            <w:r>
              <w:rPr>
                <w:rFonts w:hint="eastAsia"/>
                <w:b/>
                <w:bCs/>
                <w:color w:val="auto"/>
                <w:highlight w:val="none"/>
              </w:rPr>
              <w:t>站房</w:t>
            </w:r>
          </w:p>
        </w:tc>
        <w:tc>
          <w:tcPr>
            <w:tcW w:w="796" w:type="dxa"/>
            <w:noWrap w:val="0"/>
            <w:vAlign w:val="center"/>
          </w:tcPr>
          <w:p w14:paraId="56A49F87">
            <w:pPr>
              <w:pStyle w:val="92"/>
              <w:bidi w:val="0"/>
              <w:rPr>
                <w:rFonts w:hint="eastAsia" w:eastAsia="宋体"/>
                <w:b/>
                <w:bCs/>
                <w:color w:val="auto"/>
                <w:highlight w:val="none"/>
                <w:lang w:val="en-US" w:eastAsia="zh-CN"/>
              </w:rPr>
            </w:pPr>
            <w:r>
              <w:rPr>
                <w:rFonts w:hint="eastAsia"/>
                <w:b/>
                <w:bCs/>
                <w:color w:val="auto"/>
                <w:highlight w:val="none"/>
                <w:lang w:val="en-US" w:eastAsia="zh-CN"/>
              </w:rPr>
              <w:t>发电机房</w:t>
            </w:r>
          </w:p>
        </w:tc>
        <w:tc>
          <w:tcPr>
            <w:tcW w:w="582" w:type="dxa"/>
            <w:noWrap w:val="0"/>
            <w:vAlign w:val="center"/>
          </w:tcPr>
          <w:p w14:paraId="0BA0070F">
            <w:pPr>
              <w:pStyle w:val="92"/>
              <w:bidi w:val="0"/>
              <w:rPr>
                <w:b/>
                <w:bCs/>
                <w:color w:val="auto"/>
                <w:highlight w:val="none"/>
              </w:rPr>
            </w:pPr>
            <w:r>
              <w:rPr>
                <w:rFonts w:hint="eastAsia"/>
                <w:b/>
                <w:bCs/>
                <w:color w:val="auto"/>
                <w:highlight w:val="none"/>
              </w:rPr>
              <w:t>站区围墙</w:t>
            </w:r>
          </w:p>
        </w:tc>
      </w:tr>
      <w:tr w14:paraId="7E64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7FF41BF6">
            <w:pPr>
              <w:pStyle w:val="92"/>
              <w:bidi w:val="0"/>
              <w:rPr>
                <w:color w:val="auto"/>
                <w:highlight w:val="none"/>
              </w:rPr>
            </w:pPr>
            <w:r>
              <w:rPr>
                <w:rFonts w:hint="eastAsia"/>
                <w:color w:val="auto"/>
                <w:highlight w:val="none"/>
              </w:rPr>
              <w:t>汽油罐</w:t>
            </w:r>
          </w:p>
        </w:tc>
        <w:tc>
          <w:tcPr>
            <w:tcW w:w="951" w:type="dxa"/>
            <w:noWrap w:val="0"/>
            <w:vAlign w:val="center"/>
          </w:tcPr>
          <w:p w14:paraId="4C8826A4">
            <w:pPr>
              <w:pStyle w:val="92"/>
              <w:bidi w:val="0"/>
              <w:rPr>
                <w:rFonts w:hint="eastAsia"/>
                <w:color w:val="auto"/>
                <w:highlight w:val="none"/>
              </w:rPr>
            </w:pPr>
            <w:r>
              <w:rPr>
                <w:color w:val="auto"/>
                <w:highlight w:val="none"/>
              </w:rPr>
              <w:t>规范要求</w:t>
            </w:r>
          </w:p>
        </w:tc>
        <w:tc>
          <w:tcPr>
            <w:tcW w:w="775" w:type="dxa"/>
            <w:noWrap w:val="0"/>
            <w:vAlign w:val="center"/>
          </w:tcPr>
          <w:p w14:paraId="645D803E">
            <w:pPr>
              <w:pStyle w:val="92"/>
              <w:bidi w:val="0"/>
              <w:rPr>
                <w:color w:val="auto"/>
                <w:highlight w:val="none"/>
              </w:rPr>
            </w:pPr>
            <w:r>
              <w:rPr>
                <w:rFonts w:hint="eastAsia"/>
                <w:color w:val="auto"/>
                <w:highlight w:val="none"/>
              </w:rPr>
              <w:t>0.5</w:t>
            </w:r>
          </w:p>
        </w:tc>
        <w:tc>
          <w:tcPr>
            <w:tcW w:w="785" w:type="dxa"/>
            <w:noWrap w:val="0"/>
            <w:vAlign w:val="center"/>
          </w:tcPr>
          <w:p w14:paraId="5F3465AD">
            <w:pPr>
              <w:pStyle w:val="92"/>
              <w:bidi w:val="0"/>
              <w:rPr>
                <w:color w:val="auto"/>
                <w:highlight w:val="none"/>
              </w:rPr>
            </w:pPr>
            <w:r>
              <w:rPr>
                <w:rFonts w:hint="eastAsia"/>
                <w:color w:val="auto"/>
                <w:highlight w:val="none"/>
              </w:rPr>
              <w:t>0.5</w:t>
            </w:r>
          </w:p>
        </w:tc>
        <w:tc>
          <w:tcPr>
            <w:tcW w:w="982" w:type="dxa"/>
            <w:noWrap w:val="0"/>
            <w:vAlign w:val="center"/>
          </w:tcPr>
          <w:p w14:paraId="06D1FC1C">
            <w:pPr>
              <w:pStyle w:val="92"/>
              <w:bidi w:val="0"/>
              <w:rPr>
                <w:color w:val="auto"/>
                <w:highlight w:val="none"/>
              </w:rPr>
            </w:pPr>
            <w:r>
              <w:rPr>
                <w:rFonts w:hint="eastAsia"/>
                <w:color w:val="auto"/>
                <w:highlight w:val="none"/>
              </w:rPr>
              <w:t>—</w:t>
            </w:r>
          </w:p>
        </w:tc>
        <w:tc>
          <w:tcPr>
            <w:tcW w:w="993" w:type="dxa"/>
            <w:noWrap w:val="0"/>
            <w:vAlign w:val="center"/>
          </w:tcPr>
          <w:p w14:paraId="565F710D">
            <w:pPr>
              <w:pStyle w:val="92"/>
              <w:bidi w:val="0"/>
              <w:rPr>
                <w:color w:val="auto"/>
                <w:highlight w:val="none"/>
              </w:rPr>
            </w:pPr>
            <w:r>
              <w:rPr>
                <w:rFonts w:hint="eastAsia"/>
                <w:color w:val="auto"/>
                <w:highlight w:val="none"/>
              </w:rPr>
              <w:t>—</w:t>
            </w:r>
          </w:p>
        </w:tc>
        <w:tc>
          <w:tcPr>
            <w:tcW w:w="741" w:type="dxa"/>
            <w:noWrap w:val="0"/>
            <w:vAlign w:val="center"/>
          </w:tcPr>
          <w:p w14:paraId="1EF1F724">
            <w:pPr>
              <w:pStyle w:val="92"/>
              <w:bidi w:val="0"/>
              <w:rPr>
                <w:rFonts w:hint="eastAsia"/>
                <w:color w:val="auto"/>
                <w:highlight w:val="none"/>
              </w:rPr>
            </w:pPr>
            <w:r>
              <w:rPr>
                <w:rFonts w:hint="eastAsia"/>
                <w:color w:val="auto"/>
                <w:highlight w:val="none"/>
              </w:rPr>
              <w:t>—</w:t>
            </w:r>
          </w:p>
        </w:tc>
        <w:tc>
          <w:tcPr>
            <w:tcW w:w="655" w:type="dxa"/>
            <w:noWrap w:val="0"/>
            <w:vAlign w:val="center"/>
          </w:tcPr>
          <w:p w14:paraId="6413BD63">
            <w:pPr>
              <w:pStyle w:val="92"/>
              <w:bidi w:val="0"/>
              <w:rPr>
                <w:color w:val="auto"/>
                <w:highlight w:val="none"/>
              </w:rPr>
            </w:pPr>
            <w:r>
              <w:rPr>
                <w:rFonts w:hint="eastAsia"/>
                <w:color w:val="auto"/>
                <w:highlight w:val="none"/>
              </w:rPr>
              <w:t>—</w:t>
            </w:r>
          </w:p>
        </w:tc>
        <w:tc>
          <w:tcPr>
            <w:tcW w:w="774" w:type="dxa"/>
            <w:noWrap w:val="0"/>
            <w:vAlign w:val="center"/>
          </w:tcPr>
          <w:p w14:paraId="7387FBAB">
            <w:pPr>
              <w:pStyle w:val="92"/>
              <w:bidi w:val="0"/>
              <w:rPr>
                <w:color w:val="auto"/>
                <w:highlight w:val="none"/>
              </w:rPr>
            </w:pPr>
            <w:r>
              <w:rPr>
                <w:rFonts w:hint="eastAsia"/>
                <w:color w:val="auto"/>
                <w:highlight w:val="none"/>
              </w:rPr>
              <w:t>4</w:t>
            </w:r>
          </w:p>
        </w:tc>
        <w:tc>
          <w:tcPr>
            <w:tcW w:w="796" w:type="dxa"/>
            <w:noWrap w:val="0"/>
            <w:vAlign w:val="center"/>
          </w:tcPr>
          <w:p w14:paraId="79A9D552">
            <w:pPr>
              <w:pStyle w:val="92"/>
              <w:bidi w:val="0"/>
              <w:rPr>
                <w:rFonts w:hint="default"/>
                <w:color w:val="auto"/>
                <w:highlight w:val="none"/>
                <w:lang w:val="en-US" w:eastAsia="zh-CN"/>
              </w:rPr>
            </w:pPr>
            <w:r>
              <w:rPr>
                <w:rFonts w:hint="eastAsia"/>
                <w:color w:val="auto"/>
                <w:highlight w:val="none"/>
                <w:lang w:val="en-US" w:eastAsia="zh-CN"/>
              </w:rPr>
              <w:t>8</w:t>
            </w:r>
          </w:p>
        </w:tc>
        <w:tc>
          <w:tcPr>
            <w:tcW w:w="582" w:type="dxa"/>
            <w:noWrap w:val="0"/>
            <w:vAlign w:val="center"/>
          </w:tcPr>
          <w:p w14:paraId="312D5EE1">
            <w:pPr>
              <w:pStyle w:val="92"/>
              <w:bidi w:val="0"/>
              <w:rPr>
                <w:rFonts w:hint="eastAsia"/>
                <w:color w:val="auto"/>
                <w:highlight w:val="none"/>
                <w:lang w:eastAsia="zh-CN"/>
              </w:rPr>
            </w:pPr>
            <w:r>
              <w:rPr>
                <w:rFonts w:hint="eastAsia"/>
                <w:color w:val="auto"/>
                <w:highlight w:val="none"/>
                <w:lang w:val="en-US" w:eastAsia="zh-CN"/>
              </w:rPr>
              <w:t>2</w:t>
            </w:r>
          </w:p>
        </w:tc>
      </w:tr>
      <w:tr w14:paraId="308A3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58A355ED">
            <w:pPr>
              <w:pStyle w:val="92"/>
              <w:bidi w:val="0"/>
              <w:rPr>
                <w:color w:val="auto"/>
                <w:highlight w:val="none"/>
              </w:rPr>
            </w:pPr>
          </w:p>
        </w:tc>
        <w:tc>
          <w:tcPr>
            <w:tcW w:w="951" w:type="dxa"/>
            <w:noWrap w:val="0"/>
            <w:vAlign w:val="center"/>
          </w:tcPr>
          <w:p w14:paraId="1383DC4A">
            <w:pPr>
              <w:pStyle w:val="92"/>
              <w:bidi w:val="0"/>
              <w:rPr>
                <w:color w:val="auto"/>
                <w:highlight w:val="none"/>
              </w:rPr>
            </w:pPr>
            <w:r>
              <w:rPr>
                <w:rFonts w:hint="eastAsia"/>
                <w:color w:val="auto"/>
                <w:highlight w:val="none"/>
              </w:rPr>
              <w:t>实测</w:t>
            </w:r>
          </w:p>
        </w:tc>
        <w:tc>
          <w:tcPr>
            <w:tcW w:w="775" w:type="dxa"/>
            <w:noWrap w:val="0"/>
            <w:vAlign w:val="center"/>
          </w:tcPr>
          <w:p w14:paraId="6A7736BE">
            <w:pPr>
              <w:pStyle w:val="92"/>
              <w:bidi w:val="0"/>
              <w:rPr>
                <w:rFonts w:hint="eastAsia" w:eastAsia="宋体"/>
                <w:color w:val="auto"/>
                <w:highlight w:val="none"/>
                <w:lang w:eastAsia="zh-CN"/>
              </w:rPr>
            </w:pPr>
            <w:r>
              <w:rPr>
                <w:rFonts w:hint="eastAsia"/>
                <w:color w:val="auto"/>
                <w:highlight w:val="none"/>
              </w:rPr>
              <w:t>0.</w:t>
            </w:r>
            <w:r>
              <w:rPr>
                <w:rFonts w:hint="eastAsia"/>
                <w:color w:val="auto"/>
                <w:highlight w:val="none"/>
                <w:lang w:val="en-US" w:eastAsia="zh-CN"/>
              </w:rPr>
              <w:t>6</w:t>
            </w:r>
          </w:p>
        </w:tc>
        <w:tc>
          <w:tcPr>
            <w:tcW w:w="785" w:type="dxa"/>
            <w:noWrap w:val="0"/>
            <w:vAlign w:val="center"/>
          </w:tcPr>
          <w:p w14:paraId="5325202C">
            <w:pPr>
              <w:pStyle w:val="92"/>
              <w:bidi w:val="0"/>
              <w:rPr>
                <w:rFonts w:hint="default"/>
                <w:color w:val="auto"/>
                <w:highlight w:val="none"/>
                <w:lang w:val="en-US"/>
              </w:rPr>
            </w:pPr>
            <w:r>
              <w:rPr>
                <w:rFonts w:hint="eastAsia"/>
                <w:color w:val="auto"/>
                <w:highlight w:val="none"/>
                <w:lang w:val="en-US" w:eastAsia="zh-CN"/>
              </w:rPr>
              <w:t>0.6</w:t>
            </w:r>
          </w:p>
        </w:tc>
        <w:tc>
          <w:tcPr>
            <w:tcW w:w="982" w:type="dxa"/>
            <w:noWrap w:val="0"/>
            <w:vAlign w:val="center"/>
          </w:tcPr>
          <w:p w14:paraId="26331C00">
            <w:pPr>
              <w:pStyle w:val="92"/>
              <w:bidi w:val="0"/>
              <w:rPr>
                <w:color w:val="auto"/>
                <w:highlight w:val="none"/>
              </w:rPr>
            </w:pPr>
            <w:r>
              <w:rPr>
                <w:rFonts w:hint="eastAsia"/>
                <w:color w:val="auto"/>
                <w:highlight w:val="none"/>
              </w:rPr>
              <w:t>—</w:t>
            </w:r>
          </w:p>
        </w:tc>
        <w:tc>
          <w:tcPr>
            <w:tcW w:w="993" w:type="dxa"/>
            <w:noWrap w:val="0"/>
            <w:vAlign w:val="center"/>
          </w:tcPr>
          <w:p w14:paraId="224522F0">
            <w:pPr>
              <w:pStyle w:val="92"/>
              <w:bidi w:val="0"/>
              <w:rPr>
                <w:color w:val="auto"/>
                <w:highlight w:val="none"/>
              </w:rPr>
            </w:pPr>
            <w:r>
              <w:rPr>
                <w:rFonts w:hint="eastAsia"/>
                <w:color w:val="auto"/>
                <w:highlight w:val="none"/>
              </w:rPr>
              <w:t>—</w:t>
            </w:r>
          </w:p>
        </w:tc>
        <w:tc>
          <w:tcPr>
            <w:tcW w:w="741" w:type="dxa"/>
            <w:noWrap w:val="0"/>
            <w:vAlign w:val="center"/>
          </w:tcPr>
          <w:p w14:paraId="4C5DED9C">
            <w:pPr>
              <w:pStyle w:val="92"/>
              <w:bidi w:val="0"/>
              <w:rPr>
                <w:rFonts w:hint="eastAsia"/>
                <w:color w:val="auto"/>
                <w:highlight w:val="none"/>
              </w:rPr>
            </w:pPr>
            <w:r>
              <w:rPr>
                <w:rFonts w:hint="eastAsia"/>
                <w:color w:val="auto"/>
                <w:highlight w:val="none"/>
              </w:rPr>
              <w:t>—</w:t>
            </w:r>
          </w:p>
        </w:tc>
        <w:tc>
          <w:tcPr>
            <w:tcW w:w="655" w:type="dxa"/>
            <w:noWrap w:val="0"/>
            <w:vAlign w:val="center"/>
          </w:tcPr>
          <w:p w14:paraId="79672C6A">
            <w:pPr>
              <w:pStyle w:val="92"/>
              <w:bidi w:val="0"/>
              <w:rPr>
                <w:color w:val="auto"/>
                <w:highlight w:val="none"/>
              </w:rPr>
            </w:pPr>
            <w:r>
              <w:rPr>
                <w:rFonts w:hint="eastAsia"/>
                <w:color w:val="auto"/>
                <w:highlight w:val="none"/>
              </w:rPr>
              <w:t>—</w:t>
            </w:r>
          </w:p>
        </w:tc>
        <w:tc>
          <w:tcPr>
            <w:tcW w:w="774" w:type="dxa"/>
            <w:noWrap w:val="0"/>
            <w:vAlign w:val="center"/>
          </w:tcPr>
          <w:p w14:paraId="290EF7F8">
            <w:pPr>
              <w:pStyle w:val="92"/>
              <w:bidi w:val="0"/>
              <w:rPr>
                <w:rFonts w:hint="default" w:eastAsia="宋体"/>
                <w:color w:val="auto"/>
                <w:highlight w:val="none"/>
                <w:lang w:val="en-US" w:eastAsia="zh-CN"/>
              </w:rPr>
            </w:pPr>
            <w:r>
              <w:rPr>
                <w:rFonts w:hint="eastAsia"/>
                <w:color w:val="auto"/>
                <w:highlight w:val="none"/>
                <w:lang w:val="en-US" w:eastAsia="zh-CN"/>
              </w:rPr>
              <w:t>5.4</w:t>
            </w:r>
          </w:p>
        </w:tc>
        <w:tc>
          <w:tcPr>
            <w:tcW w:w="796" w:type="dxa"/>
            <w:noWrap w:val="0"/>
            <w:vAlign w:val="center"/>
          </w:tcPr>
          <w:p w14:paraId="159EBAC2">
            <w:pPr>
              <w:pStyle w:val="92"/>
              <w:bidi w:val="0"/>
              <w:rPr>
                <w:rFonts w:hint="default" w:eastAsia="宋体"/>
                <w:color w:val="auto"/>
                <w:highlight w:val="none"/>
                <w:lang w:val="en-US" w:eastAsia="zh-CN"/>
              </w:rPr>
            </w:pPr>
            <w:r>
              <w:rPr>
                <w:rFonts w:hint="eastAsia"/>
                <w:color w:val="auto"/>
                <w:highlight w:val="none"/>
                <w:lang w:val="en-US" w:eastAsia="zh-CN"/>
              </w:rPr>
              <w:t>14.3</w:t>
            </w:r>
          </w:p>
        </w:tc>
        <w:tc>
          <w:tcPr>
            <w:tcW w:w="582" w:type="dxa"/>
            <w:noWrap w:val="0"/>
            <w:vAlign w:val="center"/>
          </w:tcPr>
          <w:p w14:paraId="2D604BDE">
            <w:pPr>
              <w:pStyle w:val="92"/>
              <w:bidi w:val="0"/>
              <w:rPr>
                <w:rFonts w:hint="default" w:eastAsia="宋体"/>
                <w:color w:val="auto"/>
                <w:highlight w:val="none"/>
                <w:lang w:val="en-US" w:eastAsia="zh-CN"/>
              </w:rPr>
            </w:pPr>
            <w:r>
              <w:rPr>
                <w:rFonts w:hint="eastAsia"/>
                <w:color w:val="auto"/>
                <w:highlight w:val="none"/>
                <w:lang w:val="en-US" w:eastAsia="zh-CN"/>
              </w:rPr>
              <w:t>4.7</w:t>
            </w:r>
          </w:p>
        </w:tc>
      </w:tr>
      <w:tr w14:paraId="77A27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31605BFE">
            <w:pPr>
              <w:pStyle w:val="92"/>
              <w:bidi w:val="0"/>
              <w:rPr>
                <w:color w:val="auto"/>
                <w:highlight w:val="none"/>
              </w:rPr>
            </w:pPr>
            <w:r>
              <w:rPr>
                <w:rFonts w:hint="eastAsia"/>
                <w:color w:val="auto"/>
                <w:highlight w:val="none"/>
              </w:rPr>
              <w:t>柴油罐</w:t>
            </w:r>
          </w:p>
        </w:tc>
        <w:tc>
          <w:tcPr>
            <w:tcW w:w="951" w:type="dxa"/>
            <w:noWrap w:val="0"/>
            <w:vAlign w:val="center"/>
          </w:tcPr>
          <w:p w14:paraId="7FCC9430">
            <w:pPr>
              <w:pStyle w:val="92"/>
              <w:bidi w:val="0"/>
              <w:rPr>
                <w:rFonts w:hint="eastAsia"/>
                <w:color w:val="auto"/>
                <w:highlight w:val="none"/>
              </w:rPr>
            </w:pPr>
            <w:r>
              <w:rPr>
                <w:color w:val="auto"/>
                <w:highlight w:val="none"/>
              </w:rPr>
              <w:t>规范要求</w:t>
            </w:r>
          </w:p>
        </w:tc>
        <w:tc>
          <w:tcPr>
            <w:tcW w:w="775" w:type="dxa"/>
            <w:noWrap w:val="0"/>
            <w:vAlign w:val="center"/>
          </w:tcPr>
          <w:p w14:paraId="41D2D0F4">
            <w:pPr>
              <w:pStyle w:val="92"/>
              <w:bidi w:val="0"/>
              <w:rPr>
                <w:color w:val="auto"/>
                <w:highlight w:val="none"/>
              </w:rPr>
            </w:pPr>
            <w:r>
              <w:rPr>
                <w:rFonts w:hint="eastAsia"/>
                <w:color w:val="auto"/>
                <w:highlight w:val="none"/>
              </w:rPr>
              <w:t>0.5</w:t>
            </w:r>
          </w:p>
        </w:tc>
        <w:tc>
          <w:tcPr>
            <w:tcW w:w="785" w:type="dxa"/>
            <w:noWrap w:val="0"/>
            <w:vAlign w:val="center"/>
          </w:tcPr>
          <w:p w14:paraId="737DCB5D">
            <w:pPr>
              <w:pStyle w:val="92"/>
              <w:bidi w:val="0"/>
              <w:rPr>
                <w:color w:val="auto"/>
                <w:highlight w:val="none"/>
              </w:rPr>
            </w:pPr>
            <w:r>
              <w:rPr>
                <w:rFonts w:hint="eastAsia"/>
                <w:color w:val="auto"/>
                <w:highlight w:val="none"/>
              </w:rPr>
              <w:t>0.5</w:t>
            </w:r>
          </w:p>
        </w:tc>
        <w:tc>
          <w:tcPr>
            <w:tcW w:w="982" w:type="dxa"/>
            <w:noWrap w:val="0"/>
            <w:vAlign w:val="center"/>
          </w:tcPr>
          <w:p w14:paraId="066E5A4E">
            <w:pPr>
              <w:pStyle w:val="92"/>
              <w:bidi w:val="0"/>
              <w:rPr>
                <w:color w:val="auto"/>
                <w:highlight w:val="none"/>
              </w:rPr>
            </w:pPr>
            <w:r>
              <w:rPr>
                <w:rFonts w:hint="eastAsia"/>
                <w:color w:val="auto"/>
                <w:highlight w:val="none"/>
              </w:rPr>
              <w:t>—</w:t>
            </w:r>
          </w:p>
        </w:tc>
        <w:tc>
          <w:tcPr>
            <w:tcW w:w="993" w:type="dxa"/>
            <w:noWrap w:val="0"/>
            <w:vAlign w:val="center"/>
          </w:tcPr>
          <w:p w14:paraId="7D5E2C24">
            <w:pPr>
              <w:pStyle w:val="92"/>
              <w:bidi w:val="0"/>
              <w:rPr>
                <w:color w:val="auto"/>
                <w:highlight w:val="none"/>
              </w:rPr>
            </w:pPr>
            <w:r>
              <w:rPr>
                <w:rFonts w:hint="eastAsia"/>
                <w:color w:val="auto"/>
                <w:highlight w:val="none"/>
              </w:rPr>
              <w:t>—</w:t>
            </w:r>
          </w:p>
        </w:tc>
        <w:tc>
          <w:tcPr>
            <w:tcW w:w="741" w:type="dxa"/>
            <w:noWrap w:val="0"/>
            <w:vAlign w:val="center"/>
          </w:tcPr>
          <w:p w14:paraId="4CC73C09">
            <w:pPr>
              <w:pStyle w:val="92"/>
              <w:bidi w:val="0"/>
              <w:rPr>
                <w:rFonts w:hint="eastAsia"/>
                <w:color w:val="auto"/>
                <w:highlight w:val="none"/>
              </w:rPr>
            </w:pPr>
            <w:r>
              <w:rPr>
                <w:rFonts w:hint="eastAsia"/>
                <w:color w:val="auto"/>
                <w:highlight w:val="none"/>
              </w:rPr>
              <w:t>—</w:t>
            </w:r>
          </w:p>
        </w:tc>
        <w:tc>
          <w:tcPr>
            <w:tcW w:w="655" w:type="dxa"/>
            <w:noWrap w:val="0"/>
            <w:vAlign w:val="center"/>
          </w:tcPr>
          <w:p w14:paraId="36BEDF67">
            <w:pPr>
              <w:pStyle w:val="92"/>
              <w:bidi w:val="0"/>
              <w:rPr>
                <w:color w:val="auto"/>
                <w:highlight w:val="none"/>
              </w:rPr>
            </w:pPr>
            <w:r>
              <w:rPr>
                <w:rFonts w:hint="eastAsia"/>
                <w:color w:val="auto"/>
                <w:highlight w:val="none"/>
              </w:rPr>
              <w:t>—</w:t>
            </w:r>
          </w:p>
        </w:tc>
        <w:tc>
          <w:tcPr>
            <w:tcW w:w="774" w:type="dxa"/>
            <w:noWrap w:val="0"/>
            <w:vAlign w:val="center"/>
          </w:tcPr>
          <w:p w14:paraId="3A074B13">
            <w:pPr>
              <w:pStyle w:val="92"/>
              <w:bidi w:val="0"/>
              <w:rPr>
                <w:color w:val="auto"/>
                <w:highlight w:val="none"/>
              </w:rPr>
            </w:pPr>
            <w:r>
              <w:rPr>
                <w:rFonts w:hint="eastAsia"/>
                <w:color w:val="auto"/>
                <w:highlight w:val="none"/>
              </w:rPr>
              <w:t>3</w:t>
            </w:r>
          </w:p>
        </w:tc>
        <w:tc>
          <w:tcPr>
            <w:tcW w:w="796" w:type="dxa"/>
            <w:noWrap w:val="0"/>
            <w:vAlign w:val="center"/>
          </w:tcPr>
          <w:p w14:paraId="72C258F0">
            <w:pPr>
              <w:pStyle w:val="92"/>
              <w:bidi w:val="0"/>
              <w:rPr>
                <w:rFonts w:hint="default" w:eastAsia="宋体"/>
                <w:color w:val="auto"/>
                <w:highlight w:val="none"/>
                <w:lang w:val="en-US" w:eastAsia="zh-CN"/>
              </w:rPr>
            </w:pPr>
            <w:r>
              <w:rPr>
                <w:rFonts w:hint="eastAsia"/>
                <w:color w:val="auto"/>
                <w:highlight w:val="none"/>
                <w:lang w:val="en-US" w:eastAsia="zh-CN"/>
              </w:rPr>
              <w:t>6</w:t>
            </w:r>
          </w:p>
        </w:tc>
        <w:tc>
          <w:tcPr>
            <w:tcW w:w="582" w:type="dxa"/>
            <w:noWrap w:val="0"/>
            <w:vAlign w:val="center"/>
          </w:tcPr>
          <w:p w14:paraId="230A34E1">
            <w:pPr>
              <w:pStyle w:val="92"/>
              <w:bidi w:val="0"/>
              <w:rPr>
                <w:color w:val="auto"/>
                <w:highlight w:val="none"/>
              </w:rPr>
            </w:pPr>
            <w:r>
              <w:rPr>
                <w:rFonts w:hint="eastAsia"/>
                <w:color w:val="auto"/>
                <w:highlight w:val="none"/>
              </w:rPr>
              <w:t>2</w:t>
            </w:r>
          </w:p>
        </w:tc>
      </w:tr>
      <w:tr w14:paraId="71B3E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3D90CA1F">
            <w:pPr>
              <w:pStyle w:val="92"/>
              <w:bidi w:val="0"/>
              <w:rPr>
                <w:color w:val="auto"/>
                <w:highlight w:val="none"/>
              </w:rPr>
            </w:pPr>
          </w:p>
        </w:tc>
        <w:tc>
          <w:tcPr>
            <w:tcW w:w="951" w:type="dxa"/>
            <w:noWrap w:val="0"/>
            <w:vAlign w:val="center"/>
          </w:tcPr>
          <w:p w14:paraId="764AAE0D">
            <w:pPr>
              <w:pStyle w:val="92"/>
              <w:bidi w:val="0"/>
              <w:rPr>
                <w:color w:val="auto"/>
                <w:highlight w:val="none"/>
              </w:rPr>
            </w:pPr>
            <w:r>
              <w:rPr>
                <w:rFonts w:hint="eastAsia"/>
                <w:color w:val="auto"/>
                <w:highlight w:val="none"/>
              </w:rPr>
              <w:t>实测</w:t>
            </w:r>
          </w:p>
        </w:tc>
        <w:tc>
          <w:tcPr>
            <w:tcW w:w="775" w:type="dxa"/>
            <w:noWrap w:val="0"/>
            <w:vAlign w:val="center"/>
          </w:tcPr>
          <w:p w14:paraId="6052685B">
            <w:pPr>
              <w:pStyle w:val="92"/>
              <w:bidi w:val="0"/>
              <w:rPr>
                <w:rFonts w:hint="default"/>
                <w:color w:val="auto"/>
                <w:highlight w:val="none"/>
                <w:lang w:val="en-US"/>
              </w:rPr>
            </w:pPr>
            <w:r>
              <w:rPr>
                <w:rFonts w:hint="eastAsia"/>
                <w:color w:val="auto"/>
                <w:highlight w:val="none"/>
                <w:lang w:val="en-US" w:eastAsia="zh-CN"/>
              </w:rPr>
              <w:t>0.6</w:t>
            </w:r>
          </w:p>
        </w:tc>
        <w:tc>
          <w:tcPr>
            <w:tcW w:w="785" w:type="dxa"/>
            <w:noWrap w:val="0"/>
            <w:vAlign w:val="center"/>
          </w:tcPr>
          <w:p w14:paraId="5752FC10">
            <w:pPr>
              <w:pStyle w:val="92"/>
              <w:bidi w:val="0"/>
              <w:rPr>
                <w:rFonts w:hint="default" w:eastAsia="宋体"/>
                <w:color w:val="auto"/>
                <w:highlight w:val="none"/>
                <w:lang w:val="en-US" w:eastAsia="zh-CN"/>
              </w:rPr>
            </w:pPr>
            <w:r>
              <w:rPr>
                <w:rFonts w:hint="eastAsia"/>
                <w:color w:val="auto"/>
                <w:highlight w:val="none"/>
              </w:rPr>
              <w:t>—</w:t>
            </w:r>
          </w:p>
        </w:tc>
        <w:tc>
          <w:tcPr>
            <w:tcW w:w="982" w:type="dxa"/>
            <w:noWrap w:val="0"/>
            <w:vAlign w:val="center"/>
          </w:tcPr>
          <w:p w14:paraId="41264F36">
            <w:pPr>
              <w:pStyle w:val="92"/>
              <w:bidi w:val="0"/>
              <w:rPr>
                <w:color w:val="auto"/>
                <w:highlight w:val="none"/>
              </w:rPr>
            </w:pPr>
            <w:r>
              <w:rPr>
                <w:rFonts w:hint="eastAsia"/>
                <w:color w:val="auto"/>
                <w:highlight w:val="none"/>
              </w:rPr>
              <w:t>—</w:t>
            </w:r>
          </w:p>
        </w:tc>
        <w:tc>
          <w:tcPr>
            <w:tcW w:w="993" w:type="dxa"/>
            <w:noWrap w:val="0"/>
            <w:vAlign w:val="center"/>
          </w:tcPr>
          <w:p w14:paraId="0451C9C9">
            <w:pPr>
              <w:pStyle w:val="92"/>
              <w:bidi w:val="0"/>
              <w:rPr>
                <w:color w:val="auto"/>
                <w:highlight w:val="none"/>
              </w:rPr>
            </w:pPr>
            <w:r>
              <w:rPr>
                <w:rFonts w:hint="eastAsia"/>
                <w:color w:val="auto"/>
                <w:highlight w:val="none"/>
              </w:rPr>
              <w:t>—</w:t>
            </w:r>
          </w:p>
        </w:tc>
        <w:tc>
          <w:tcPr>
            <w:tcW w:w="741" w:type="dxa"/>
            <w:noWrap w:val="0"/>
            <w:vAlign w:val="center"/>
          </w:tcPr>
          <w:p w14:paraId="749AC374">
            <w:pPr>
              <w:pStyle w:val="92"/>
              <w:bidi w:val="0"/>
              <w:rPr>
                <w:rFonts w:hint="eastAsia"/>
                <w:color w:val="auto"/>
                <w:highlight w:val="none"/>
              </w:rPr>
            </w:pPr>
            <w:r>
              <w:rPr>
                <w:rFonts w:hint="eastAsia"/>
                <w:color w:val="auto"/>
                <w:highlight w:val="none"/>
              </w:rPr>
              <w:t>—</w:t>
            </w:r>
          </w:p>
        </w:tc>
        <w:tc>
          <w:tcPr>
            <w:tcW w:w="655" w:type="dxa"/>
            <w:noWrap w:val="0"/>
            <w:vAlign w:val="center"/>
          </w:tcPr>
          <w:p w14:paraId="5E2E95D8">
            <w:pPr>
              <w:pStyle w:val="92"/>
              <w:bidi w:val="0"/>
              <w:rPr>
                <w:color w:val="auto"/>
                <w:highlight w:val="none"/>
              </w:rPr>
            </w:pPr>
            <w:r>
              <w:rPr>
                <w:rFonts w:hint="eastAsia"/>
                <w:color w:val="auto"/>
                <w:highlight w:val="none"/>
              </w:rPr>
              <w:t>—</w:t>
            </w:r>
          </w:p>
        </w:tc>
        <w:tc>
          <w:tcPr>
            <w:tcW w:w="774" w:type="dxa"/>
            <w:noWrap w:val="0"/>
            <w:vAlign w:val="center"/>
          </w:tcPr>
          <w:p w14:paraId="13F7FC02">
            <w:pPr>
              <w:pStyle w:val="92"/>
              <w:bidi w:val="0"/>
              <w:rPr>
                <w:rFonts w:hint="default" w:eastAsia="宋体"/>
                <w:color w:val="auto"/>
                <w:highlight w:val="none"/>
                <w:lang w:val="en-US" w:eastAsia="zh-CN"/>
              </w:rPr>
            </w:pPr>
            <w:r>
              <w:rPr>
                <w:rFonts w:hint="eastAsia"/>
                <w:color w:val="auto"/>
                <w:highlight w:val="none"/>
                <w:lang w:val="en-US" w:eastAsia="zh-CN"/>
              </w:rPr>
              <w:t>5.4</w:t>
            </w:r>
          </w:p>
        </w:tc>
        <w:tc>
          <w:tcPr>
            <w:tcW w:w="796" w:type="dxa"/>
            <w:noWrap w:val="0"/>
            <w:vAlign w:val="center"/>
          </w:tcPr>
          <w:p w14:paraId="62D2BE69">
            <w:pPr>
              <w:pStyle w:val="92"/>
              <w:bidi w:val="0"/>
              <w:rPr>
                <w:rFonts w:hint="default" w:eastAsia="宋体"/>
                <w:color w:val="auto"/>
                <w:highlight w:val="none"/>
                <w:lang w:val="en-US" w:eastAsia="zh-CN"/>
              </w:rPr>
            </w:pPr>
            <w:r>
              <w:rPr>
                <w:rFonts w:hint="eastAsia"/>
                <w:color w:val="auto"/>
                <w:highlight w:val="none"/>
                <w:lang w:val="en-US" w:eastAsia="zh-CN"/>
              </w:rPr>
              <w:t>11.3</w:t>
            </w:r>
          </w:p>
        </w:tc>
        <w:tc>
          <w:tcPr>
            <w:tcW w:w="582" w:type="dxa"/>
            <w:noWrap w:val="0"/>
            <w:vAlign w:val="center"/>
          </w:tcPr>
          <w:p w14:paraId="55EB292F">
            <w:pPr>
              <w:pStyle w:val="92"/>
              <w:bidi w:val="0"/>
              <w:rPr>
                <w:rFonts w:hint="default" w:eastAsia="宋体"/>
                <w:color w:val="auto"/>
                <w:highlight w:val="none"/>
                <w:lang w:val="en-US" w:eastAsia="zh-CN"/>
              </w:rPr>
            </w:pPr>
            <w:r>
              <w:rPr>
                <w:rFonts w:hint="eastAsia"/>
                <w:color w:val="auto"/>
                <w:highlight w:val="none"/>
                <w:lang w:val="en-US" w:eastAsia="zh-CN"/>
              </w:rPr>
              <w:t>3.3</w:t>
            </w:r>
          </w:p>
        </w:tc>
      </w:tr>
      <w:tr w14:paraId="70D7F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55DF12C1">
            <w:pPr>
              <w:pStyle w:val="92"/>
              <w:bidi w:val="0"/>
              <w:rPr>
                <w:color w:val="auto"/>
                <w:highlight w:val="none"/>
              </w:rPr>
            </w:pPr>
            <w:r>
              <w:rPr>
                <w:rFonts w:hint="eastAsia"/>
                <w:color w:val="auto"/>
                <w:highlight w:val="none"/>
              </w:rPr>
              <w:t>汽油通气管管口</w:t>
            </w:r>
          </w:p>
        </w:tc>
        <w:tc>
          <w:tcPr>
            <w:tcW w:w="951" w:type="dxa"/>
            <w:noWrap w:val="0"/>
            <w:vAlign w:val="center"/>
          </w:tcPr>
          <w:p w14:paraId="207B6BA3">
            <w:pPr>
              <w:pStyle w:val="92"/>
              <w:bidi w:val="0"/>
              <w:rPr>
                <w:rFonts w:hint="eastAsia"/>
                <w:color w:val="auto"/>
                <w:highlight w:val="none"/>
              </w:rPr>
            </w:pPr>
            <w:r>
              <w:rPr>
                <w:color w:val="auto"/>
                <w:highlight w:val="none"/>
              </w:rPr>
              <w:t>规范要求</w:t>
            </w:r>
          </w:p>
        </w:tc>
        <w:tc>
          <w:tcPr>
            <w:tcW w:w="775" w:type="dxa"/>
            <w:noWrap w:val="0"/>
            <w:vAlign w:val="center"/>
          </w:tcPr>
          <w:p w14:paraId="080EFFD3">
            <w:pPr>
              <w:pStyle w:val="92"/>
              <w:bidi w:val="0"/>
              <w:rPr>
                <w:color w:val="auto"/>
                <w:highlight w:val="none"/>
              </w:rPr>
            </w:pPr>
            <w:r>
              <w:rPr>
                <w:rFonts w:hint="eastAsia"/>
                <w:color w:val="auto"/>
                <w:highlight w:val="none"/>
              </w:rPr>
              <w:t>—</w:t>
            </w:r>
          </w:p>
        </w:tc>
        <w:tc>
          <w:tcPr>
            <w:tcW w:w="785" w:type="dxa"/>
            <w:noWrap w:val="0"/>
            <w:vAlign w:val="center"/>
          </w:tcPr>
          <w:p w14:paraId="65F7614C">
            <w:pPr>
              <w:pStyle w:val="92"/>
              <w:bidi w:val="0"/>
              <w:rPr>
                <w:color w:val="auto"/>
                <w:highlight w:val="none"/>
              </w:rPr>
            </w:pPr>
            <w:r>
              <w:rPr>
                <w:rFonts w:hint="eastAsia"/>
                <w:color w:val="auto"/>
                <w:highlight w:val="none"/>
              </w:rPr>
              <w:t>—</w:t>
            </w:r>
          </w:p>
        </w:tc>
        <w:tc>
          <w:tcPr>
            <w:tcW w:w="982" w:type="dxa"/>
            <w:noWrap w:val="0"/>
            <w:vAlign w:val="center"/>
          </w:tcPr>
          <w:p w14:paraId="4CD5CD1D">
            <w:pPr>
              <w:pStyle w:val="92"/>
              <w:bidi w:val="0"/>
              <w:rPr>
                <w:color w:val="auto"/>
                <w:highlight w:val="none"/>
              </w:rPr>
            </w:pPr>
            <w:r>
              <w:rPr>
                <w:rFonts w:hint="eastAsia"/>
                <w:color w:val="auto"/>
                <w:highlight w:val="none"/>
              </w:rPr>
              <w:t>—</w:t>
            </w:r>
          </w:p>
        </w:tc>
        <w:tc>
          <w:tcPr>
            <w:tcW w:w="993" w:type="dxa"/>
            <w:noWrap w:val="0"/>
            <w:vAlign w:val="center"/>
          </w:tcPr>
          <w:p w14:paraId="513CAAF9">
            <w:pPr>
              <w:pStyle w:val="92"/>
              <w:bidi w:val="0"/>
              <w:rPr>
                <w:color w:val="auto"/>
                <w:highlight w:val="none"/>
              </w:rPr>
            </w:pPr>
            <w:r>
              <w:rPr>
                <w:rFonts w:hint="eastAsia"/>
                <w:color w:val="auto"/>
                <w:highlight w:val="none"/>
              </w:rPr>
              <w:t>—</w:t>
            </w:r>
          </w:p>
        </w:tc>
        <w:tc>
          <w:tcPr>
            <w:tcW w:w="741" w:type="dxa"/>
            <w:noWrap w:val="0"/>
            <w:vAlign w:val="center"/>
          </w:tcPr>
          <w:p w14:paraId="52931CEA">
            <w:pPr>
              <w:pStyle w:val="92"/>
              <w:bidi w:val="0"/>
              <w:rPr>
                <w:rFonts w:hint="eastAsia"/>
                <w:color w:val="auto"/>
                <w:highlight w:val="none"/>
              </w:rPr>
            </w:pPr>
            <w:r>
              <w:rPr>
                <w:rFonts w:hint="eastAsia"/>
                <w:color w:val="auto"/>
                <w:highlight w:val="none"/>
              </w:rPr>
              <w:t>3</w:t>
            </w:r>
          </w:p>
        </w:tc>
        <w:tc>
          <w:tcPr>
            <w:tcW w:w="655" w:type="dxa"/>
            <w:noWrap w:val="0"/>
            <w:vAlign w:val="center"/>
          </w:tcPr>
          <w:p w14:paraId="2D55254B">
            <w:pPr>
              <w:pStyle w:val="92"/>
              <w:bidi w:val="0"/>
              <w:rPr>
                <w:color w:val="auto"/>
                <w:highlight w:val="none"/>
              </w:rPr>
            </w:pPr>
            <w:r>
              <w:rPr>
                <w:rFonts w:hint="eastAsia"/>
                <w:color w:val="auto"/>
                <w:highlight w:val="none"/>
              </w:rPr>
              <w:t>—</w:t>
            </w:r>
          </w:p>
        </w:tc>
        <w:tc>
          <w:tcPr>
            <w:tcW w:w="774" w:type="dxa"/>
            <w:noWrap w:val="0"/>
            <w:vAlign w:val="center"/>
          </w:tcPr>
          <w:p w14:paraId="2C04EEFE">
            <w:pPr>
              <w:pStyle w:val="92"/>
              <w:bidi w:val="0"/>
              <w:rPr>
                <w:color w:val="auto"/>
                <w:highlight w:val="none"/>
              </w:rPr>
            </w:pPr>
            <w:r>
              <w:rPr>
                <w:rFonts w:hint="eastAsia"/>
                <w:color w:val="auto"/>
                <w:highlight w:val="none"/>
              </w:rPr>
              <w:t>4</w:t>
            </w:r>
          </w:p>
        </w:tc>
        <w:tc>
          <w:tcPr>
            <w:tcW w:w="796" w:type="dxa"/>
            <w:noWrap w:val="0"/>
            <w:vAlign w:val="center"/>
          </w:tcPr>
          <w:p w14:paraId="75FCE136">
            <w:pPr>
              <w:pStyle w:val="92"/>
              <w:bidi w:val="0"/>
              <w:rPr>
                <w:rFonts w:hint="default"/>
                <w:color w:val="auto"/>
                <w:highlight w:val="none"/>
                <w:lang w:val="en-US" w:eastAsia="zh-CN"/>
              </w:rPr>
            </w:pPr>
            <w:r>
              <w:rPr>
                <w:rFonts w:hint="eastAsia"/>
                <w:color w:val="auto"/>
                <w:highlight w:val="none"/>
                <w:lang w:val="en-US" w:eastAsia="zh-CN"/>
              </w:rPr>
              <w:t>8</w:t>
            </w:r>
          </w:p>
        </w:tc>
        <w:tc>
          <w:tcPr>
            <w:tcW w:w="582" w:type="dxa"/>
            <w:noWrap w:val="0"/>
            <w:vAlign w:val="center"/>
          </w:tcPr>
          <w:p w14:paraId="03EA14D0">
            <w:pPr>
              <w:pStyle w:val="92"/>
              <w:bidi w:val="0"/>
              <w:rPr>
                <w:rFonts w:hint="eastAsia"/>
                <w:color w:val="auto"/>
                <w:highlight w:val="none"/>
                <w:lang w:eastAsia="zh-CN"/>
              </w:rPr>
            </w:pPr>
            <w:r>
              <w:rPr>
                <w:rFonts w:hint="eastAsia"/>
                <w:color w:val="auto"/>
                <w:highlight w:val="none"/>
                <w:lang w:val="en-US" w:eastAsia="zh-CN"/>
              </w:rPr>
              <w:t>2</w:t>
            </w:r>
          </w:p>
        </w:tc>
      </w:tr>
      <w:tr w14:paraId="12117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7BF7AA43">
            <w:pPr>
              <w:pStyle w:val="92"/>
              <w:bidi w:val="0"/>
              <w:rPr>
                <w:color w:val="auto"/>
                <w:highlight w:val="none"/>
              </w:rPr>
            </w:pPr>
          </w:p>
        </w:tc>
        <w:tc>
          <w:tcPr>
            <w:tcW w:w="951" w:type="dxa"/>
            <w:noWrap w:val="0"/>
            <w:vAlign w:val="center"/>
          </w:tcPr>
          <w:p w14:paraId="2E3149B7">
            <w:pPr>
              <w:pStyle w:val="92"/>
              <w:bidi w:val="0"/>
              <w:rPr>
                <w:color w:val="auto"/>
                <w:highlight w:val="none"/>
              </w:rPr>
            </w:pPr>
            <w:r>
              <w:rPr>
                <w:rFonts w:hint="eastAsia"/>
                <w:color w:val="auto"/>
                <w:highlight w:val="none"/>
              </w:rPr>
              <w:t>实测</w:t>
            </w:r>
          </w:p>
        </w:tc>
        <w:tc>
          <w:tcPr>
            <w:tcW w:w="775" w:type="dxa"/>
            <w:noWrap w:val="0"/>
            <w:vAlign w:val="center"/>
          </w:tcPr>
          <w:p w14:paraId="5B4C4B5C">
            <w:pPr>
              <w:pStyle w:val="92"/>
              <w:bidi w:val="0"/>
              <w:rPr>
                <w:color w:val="auto"/>
                <w:highlight w:val="none"/>
              </w:rPr>
            </w:pPr>
            <w:r>
              <w:rPr>
                <w:rFonts w:hint="eastAsia"/>
                <w:color w:val="auto"/>
                <w:highlight w:val="none"/>
              </w:rPr>
              <w:t>—</w:t>
            </w:r>
          </w:p>
        </w:tc>
        <w:tc>
          <w:tcPr>
            <w:tcW w:w="785" w:type="dxa"/>
            <w:noWrap w:val="0"/>
            <w:vAlign w:val="center"/>
          </w:tcPr>
          <w:p w14:paraId="6C6C0422">
            <w:pPr>
              <w:pStyle w:val="92"/>
              <w:bidi w:val="0"/>
              <w:rPr>
                <w:color w:val="auto"/>
                <w:highlight w:val="none"/>
              </w:rPr>
            </w:pPr>
            <w:r>
              <w:rPr>
                <w:rFonts w:hint="eastAsia"/>
                <w:color w:val="auto"/>
                <w:highlight w:val="none"/>
              </w:rPr>
              <w:t>—</w:t>
            </w:r>
          </w:p>
        </w:tc>
        <w:tc>
          <w:tcPr>
            <w:tcW w:w="982" w:type="dxa"/>
            <w:noWrap w:val="0"/>
            <w:vAlign w:val="center"/>
          </w:tcPr>
          <w:p w14:paraId="092252FD">
            <w:pPr>
              <w:pStyle w:val="92"/>
              <w:bidi w:val="0"/>
              <w:rPr>
                <w:color w:val="auto"/>
                <w:highlight w:val="none"/>
              </w:rPr>
            </w:pPr>
            <w:r>
              <w:rPr>
                <w:rFonts w:hint="eastAsia"/>
                <w:color w:val="auto"/>
                <w:highlight w:val="none"/>
              </w:rPr>
              <w:t>—</w:t>
            </w:r>
          </w:p>
        </w:tc>
        <w:tc>
          <w:tcPr>
            <w:tcW w:w="993" w:type="dxa"/>
            <w:noWrap w:val="0"/>
            <w:vAlign w:val="center"/>
          </w:tcPr>
          <w:p w14:paraId="3599C5CE">
            <w:pPr>
              <w:pStyle w:val="92"/>
              <w:bidi w:val="0"/>
              <w:rPr>
                <w:color w:val="auto"/>
                <w:highlight w:val="none"/>
              </w:rPr>
            </w:pPr>
            <w:r>
              <w:rPr>
                <w:rFonts w:hint="eastAsia"/>
                <w:color w:val="auto"/>
                <w:highlight w:val="none"/>
              </w:rPr>
              <w:t>—</w:t>
            </w:r>
          </w:p>
        </w:tc>
        <w:tc>
          <w:tcPr>
            <w:tcW w:w="741" w:type="dxa"/>
            <w:noWrap w:val="0"/>
            <w:vAlign w:val="center"/>
          </w:tcPr>
          <w:p w14:paraId="10A4DF6B">
            <w:pPr>
              <w:pStyle w:val="92"/>
              <w:bidi w:val="0"/>
              <w:rPr>
                <w:rFonts w:hint="default" w:eastAsia="宋体"/>
                <w:color w:val="auto"/>
                <w:highlight w:val="none"/>
                <w:lang w:val="en-US" w:eastAsia="zh-CN"/>
              </w:rPr>
            </w:pPr>
            <w:r>
              <w:rPr>
                <w:rFonts w:hint="eastAsia"/>
                <w:color w:val="auto"/>
                <w:highlight w:val="none"/>
                <w:lang w:val="en-US" w:eastAsia="zh-CN"/>
              </w:rPr>
              <w:t>6.3</w:t>
            </w:r>
          </w:p>
        </w:tc>
        <w:tc>
          <w:tcPr>
            <w:tcW w:w="655" w:type="dxa"/>
            <w:noWrap w:val="0"/>
            <w:vAlign w:val="center"/>
          </w:tcPr>
          <w:p w14:paraId="54CF7516">
            <w:pPr>
              <w:pStyle w:val="92"/>
              <w:bidi w:val="0"/>
              <w:rPr>
                <w:color w:val="auto"/>
                <w:highlight w:val="none"/>
              </w:rPr>
            </w:pPr>
            <w:r>
              <w:rPr>
                <w:rFonts w:hint="eastAsia"/>
                <w:color w:val="auto"/>
                <w:highlight w:val="none"/>
              </w:rPr>
              <w:t>—</w:t>
            </w:r>
          </w:p>
        </w:tc>
        <w:tc>
          <w:tcPr>
            <w:tcW w:w="774" w:type="dxa"/>
            <w:noWrap w:val="0"/>
            <w:vAlign w:val="center"/>
          </w:tcPr>
          <w:p w14:paraId="6A95AFDC">
            <w:pPr>
              <w:pStyle w:val="92"/>
              <w:bidi w:val="0"/>
              <w:rPr>
                <w:rFonts w:hint="default" w:eastAsia="宋体"/>
                <w:color w:val="auto"/>
                <w:highlight w:val="none"/>
                <w:lang w:val="en-US" w:eastAsia="zh-CN"/>
              </w:rPr>
            </w:pPr>
            <w:r>
              <w:rPr>
                <w:rFonts w:hint="eastAsia"/>
                <w:color w:val="auto"/>
                <w:highlight w:val="none"/>
                <w:lang w:val="en-US" w:eastAsia="zh-CN"/>
              </w:rPr>
              <w:t>8.7</w:t>
            </w:r>
          </w:p>
        </w:tc>
        <w:tc>
          <w:tcPr>
            <w:tcW w:w="796" w:type="dxa"/>
            <w:noWrap w:val="0"/>
            <w:vAlign w:val="center"/>
          </w:tcPr>
          <w:p w14:paraId="79F759F9">
            <w:pPr>
              <w:pStyle w:val="92"/>
              <w:bidi w:val="0"/>
              <w:rPr>
                <w:rFonts w:hint="default" w:eastAsia="宋体"/>
                <w:color w:val="auto"/>
                <w:highlight w:val="none"/>
                <w:lang w:val="en-US" w:eastAsia="zh-CN"/>
              </w:rPr>
            </w:pPr>
            <w:r>
              <w:rPr>
                <w:rFonts w:hint="eastAsia"/>
                <w:color w:val="auto"/>
                <w:highlight w:val="none"/>
                <w:lang w:val="en-US" w:eastAsia="zh-CN"/>
              </w:rPr>
              <w:t>13.9</w:t>
            </w:r>
          </w:p>
        </w:tc>
        <w:tc>
          <w:tcPr>
            <w:tcW w:w="582" w:type="dxa"/>
            <w:noWrap w:val="0"/>
            <w:vAlign w:val="center"/>
          </w:tcPr>
          <w:p w14:paraId="63164A0B">
            <w:pPr>
              <w:pStyle w:val="92"/>
              <w:bidi w:val="0"/>
              <w:rPr>
                <w:rFonts w:hint="default" w:eastAsia="宋体"/>
                <w:color w:val="auto"/>
                <w:highlight w:val="none"/>
                <w:lang w:val="en-US" w:eastAsia="zh-CN"/>
              </w:rPr>
            </w:pPr>
            <w:r>
              <w:rPr>
                <w:rFonts w:hint="eastAsia"/>
                <w:color w:val="auto"/>
                <w:highlight w:val="none"/>
                <w:lang w:val="en-US" w:eastAsia="zh-CN"/>
              </w:rPr>
              <w:t>5.9</w:t>
            </w:r>
          </w:p>
        </w:tc>
      </w:tr>
      <w:tr w14:paraId="5ED9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79850D99">
            <w:pPr>
              <w:pStyle w:val="92"/>
              <w:bidi w:val="0"/>
              <w:rPr>
                <w:color w:val="auto"/>
                <w:highlight w:val="none"/>
              </w:rPr>
            </w:pPr>
            <w:r>
              <w:rPr>
                <w:rFonts w:hint="eastAsia"/>
                <w:color w:val="auto"/>
                <w:highlight w:val="none"/>
              </w:rPr>
              <w:t>柴油通气管管口</w:t>
            </w:r>
          </w:p>
        </w:tc>
        <w:tc>
          <w:tcPr>
            <w:tcW w:w="951" w:type="dxa"/>
            <w:noWrap w:val="0"/>
            <w:vAlign w:val="center"/>
          </w:tcPr>
          <w:p w14:paraId="7EF47968">
            <w:pPr>
              <w:pStyle w:val="92"/>
              <w:bidi w:val="0"/>
              <w:rPr>
                <w:rFonts w:hint="eastAsia"/>
                <w:color w:val="auto"/>
                <w:highlight w:val="none"/>
              </w:rPr>
            </w:pPr>
            <w:r>
              <w:rPr>
                <w:color w:val="auto"/>
                <w:highlight w:val="none"/>
              </w:rPr>
              <w:t>规范要求</w:t>
            </w:r>
          </w:p>
        </w:tc>
        <w:tc>
          <w:tcPr>
            <w:tcW w:w="775" w:type="dxa"/>
            <w:noWrap w:val="0"/>
            <w:vAlign w:val="center"/>
          </w:tcPr>
          <w:p w14:paraId="20D41735">
            <w:pPr>
              <w:pStyle w:val="92"/>
              <w:bidi w:val="0"/>
              <w:rPr>
                <w:color w:val="auto"/>
                <w:highlight w:val="none"/>
              </w:rPr>
            </w:pPr>
            <w:r>
              <w:rPr>
                <w:rFonts w:hint="eastAsia"/>
                <w:color w:val="auto"/>
                <w:highlight w:val="none"/>
              </w:rPr>
              <w:t>—</w:t>
            </w:r>
          </w:p>
        </w:tc>
        <w:tc>
          <w:tcPr>
            <w:tcW w:w="785" w:type="dxa"/>
            <w:noWrap w:val="0"/>
            <w:vAlign w:val="center"/>
          </w:tcPr>
          <w:p w14:paraId="7754FA7D">
            <w:pPr>
              <w:pStyle w:val="92"/>
              <w:bidi w:val="0"/>
              <w:rPr>
                <w:color w:val="auto"/>
                <w:highlight w:val="none"/>
              </w:rPr>
            </w:pPr>
            <w:r>
              <w:rPr>
                <w:rFonts w:hint="eastAsia"/>
                <w:color w:val="auto"/>
                <w:highlight w:val="none"/>
              </w:rPr>
              <w:t>—</w:t>
            </w:r>
          </w:p>
        </w:tc>
        <w:tc>
          <w:tcPr>
            <w:tcW w:w="982" w:type="dxa"/>
            <w:noWrap w:val="0"/>
            <w:vAlign w:val="center"/>
          </w:tcPr>
          <w:p w14:paraId="5FAF3BDB">
            <w:pPr>
              <w:pStyle w:val="92"/>
              <w:bidi w:val="0"/>
              <w:rPr>
                <w:color w:val="auto"/>
                <w:highlight w:val="none"/>
              </w:rPr>
            </w:pPr>
            <w:r>
              <w:rPr>
                <w:rFonts w:hint="eastAsia"/>
                <w:color w:val="auto"/>
                <w:highlight w:val="none"/>
              </w:rPr>
              <w:t>—</w:t>
            </w:r>
          </w:p>
        </w:tc>
        <w:tc>
          <w:tcPr>
            <w:tcW w:w="993" w:type="dxa"/>
            <w:noWrap w:val="0"/>
            <w:vAlign w:val="center"/>
          </w:tcPr>
          <w:p w14:paraId="796E2529">
            <w:pPr>
              <w:pStyle w:val="92"/>
              <w:bidi w:val="0"/>
              <w:rPr>
                <w:color w:val="auto"/>
                <w:highlight w:val="none"/>
              </w:rPr>
            </w:pPr>
            <w:r>
              <w:rPr>
                <w:rFonts w:hint="eastAsia"/>
                <w:color w:val="auto"/>
                <w:highlight w:val="none"/>
              </w:rPr>
              <w:t>—</w:t>
            </w:r>
          </w:p>
        </w:tc>
        <w:tc>
          <w:tcPr>
            <w:tcW w:w="741" w:type="dxa"/>
            <w:noWrap w:val="0"/>
            <w:vAlign w:val="center"/>
          </w:tcPr>
          <w:p w14:paraId="1BA3FEA4">
            <w:pPr>
              <w:pStyle w:val="92"/>
              <w:bidi w:val="0"/>
              <w:rPr>
                <w:rFonts w:hint="eastAsia"/>
                <w:color w:val="auto"/>
                <w:highlight w:val="none"/>
              </w:rPr>
            </w:pPr>
            <w:r>
              <w:rPr>
                <w:rFonts w:hint="eastAsia"/>
                <w:color w:val="auto"/>
                <w:highlight w:val="none"/>
              </w:rPr>
              <w:t>2</w:t>
            </w:r>
          </w:p>
        </w:tc>
        <w:tc>
          <w:tcPr>
            <w:tcW w:w="655" w:type="dxa"/>
            <w:noWrap w:val="0"/>
            <w:vAlign w:val="center"/>
          </w:tcPr>
          <w:p w14:paraId="37CCF23A">
            <w:pPr>
              <w:pStyle w:val="92"/>
              <w:bidi w:val="0"/>
              <w:rPr>
                <w:color w:val="auto"/>
                <w:highlight w:val="none"/>
              </w:rPr>
            </w:pPr>
            <w:r>
              <w:rPr>
                <w:rFonts w:hint="eastAsia"/>
                <w:color w:val="auto"/>
                <w:highlight w:val="none"/>
              </w:rPr>
              <w:t>—</w:t>
            </w:r>
          </w:p>
        </w:tc>
        <w:tc>
          <w:tcPr>
            <w:tcW w:w="774" w:type="dxa"/>
            <w:noWrap w:val="0"/>
            <w:vAlign w:val="center"/>
          </w:tcPr>
          <w:p w14:paraId="787DC8FC">
            <w:pPr>
              <w:pStyle w:val="92"/>
              <w:bidi w:val="0"/>
              <w:rPr>
                <w:color w:val="auto"/>
                <w:highlight w:val="none"/>
              </w:rPr>
            </w:pPr>
            <w:r>
              <w:rPr>
                <w:rFonts w:hint="eastAsia"/>
                <w:color w:val="auto"/>
                <w:highlight w:val="none"/>
              </w:rPr>
              <w:t>3.5</w:t>
            </w:r>
          </w:p>
        </w:tc>
        <w:tc>
          <w:tcPr>
            <w:tcW w:w="796" w:type="dxa"/>
            <w:noWrap w:val="0"/>
            <w:vAlign w:val="center"/>
          </w:tcPr>
          <w:p w14:paraId="02C8D453">
            <w:pPr>
              <w:pStyle w:val="92"/>
              <w:bidi w:val="0"/>
              <w:rPr>
                <w:rFonts w:hint="eastAsia" w:eastAsia="宋体"/>
                <w:color w:val="auto"/>
                <w:highlight w:val="none"/>
                <w:lang w:val="en-US" w:eastAsia="zh-CN"/>
              </w:rPr>
            </w:pPr>
            <w:r>
              <w:rPr>
                <w:rFonts w:hint="eastAsia"/>
                <w:color w:val="auto"/>
                <w:highlight w:val="none"/>
                <w:lang w:val="en-US" w:eastAsia="zh-CN"/>
              </w:rPr>
              <w:t>6</w:t>
            </w:r>
          </w:p>
        </w:tc>
        <w:tc>
          <w:tcPr>
            <w:tcW w:w="582" w:type="dxa"/>
            <w:noWrap w:val="0"/>
            <w:vAlign w:val="center"/>
          </w:tcPr>
          <w:p w14:paraId="252C66CC">
            <w:pPr>
              <w:pStyle w:val="92"/>
              <w:bidi w:val="0"/>
              <w:rPr>
                <w:color w:val="auto"/>
                <w:highlight w:val="none"/>
              </w:rPr>
            </w:pPr>
            <w:r>
              <w:rPr>
                <w:rFonts w:hint="eastAsia"/>
                <w:color w:val="auto"/>
                <w:highlight w:val="none"/>
              </w:rPr>
              <w:t>2</w:t>
            </w:r>
          </w:p>
        </w:tc>
      </w:tr>
      <w:tr w14:paraId="3E661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19599610">
            <w:pPr>
              <w:pStyle w:val="92"/>
              <w:bidi w:val="0"/>
              <w:rPr>
                <w:color w:val="auto"/>
                <w:highlight w:val="none"/>
              </w:rPr>
            </w:pPr>
          </w:p>
        </w:tc>
        <w:tc>
          <w:tcPr>
            <w:tcW w:w="951" w:type="dxa"/>
            <w:noWrap w:val="0"/>
            <w:vAlign w:val="center"/>
          </w:tcPr>
          <w:p w14:paraId="0C58D521">
            <w:pPr>
              <w:pStyle w:val="92"/>
              <w:bidi w:val="0"/>
              <w:rPr>
                <w:color w:val="auto"/>
                <w:highlight w:val="none"/>
              </w:rPr>
            </w:pPr>
            <w:r>
              <w:rPr>
                <w:rFonts w:hint="eastAsia"/>
                <w:color w:val="auto"/>
                <w:highlight w:val="none"/>
              </w:rPr>
              <w:t>实测</w:t>
            </w:r>
          </w:p>
        </w:tc>
        <w:tc>
          <w:tcPr>
            <w:tcW w:w="775" w:type="dxa"/>
            <w:noWrap w:val="0"/>
            <w:vAlign w:val="center"/>
          </w:tcPr>
          <w:p w14:paraId="7B9127D0">
            <w:pPr>
              <w:pStyle w:val="92"/>
              <w:bidi w:val="0"/>
              <w:rPr>
                <w:color w:val="auto"/>
                <w:highlight w:val="none"/>
              </w:rPr>
            </w:pPr>
            <w:r>
              <w:rPr>
                <w:rFonts w:hint="eastAsia"/>
                <w:color w:val="auto"/>
                <w:highlight w:val="none"/>
              </w:rPr>
              <w:t>—</w:t>
            </w:r>
          </w:p>
        </w:tc>
        <w:tc>
          <w:tcPr>
            <w:tcW w:w="785" w:type="dxa"/>
            <w:noWrap w:val="0"/>
            <w:vAlign w:val="center"/>
          </w:tcPr>
          <w:p w14:paraId="11913B6F">
            <w:pPr>
              <w:pStyle w:val="92"/>
              <w:bidi w:val="0"/>
              <w:rPr>
                <w:color w:val="auto"/>
                <w:highlight w:val="none"/>
              </w:rPr>
            </w:pPr>
            <w:r>
              <w:rPr>
                <w:rFonts w:hint="eastAsia"/>
                <w:color w:val="auto"/>
                <w:highlight w:val="none"/>
              </w:rPr>
              <w:t>—</w:t>
            </w:r>
          </w:p>
        </w:tc>
        <w:tc>
          <w:tcPr>
            <w:tcW w:w="982" w:type="dxa"/>
            <w:noWrap w:val="0"/>
            <w:vAlign w:val="center"/>
          </w:tcPr>
          <w:p w14:paraId="535D3196">
            <w:pPr>
              <w:pStyle w:val="92"/>
              <w:bidi w:val="0"/>
              <w:rPr>
                <w:color w:val="auto"/>
                <w:highlight w:val="none"/>
              </w:rPr>
            </w:pPr>
            <w:r>
              <w:rPr>
                <w:rFonts w:hint="eastAsia"/>
                <w:color w:val="auto"/>
                <w:highlight w:val="none"/>
              </w:rPr>
              <w:t>—</w:t>
            </w:r>
          </w:p>
        </w:tc>
        <w:tc>
          <w:tcPr>
            <w:tcW w:w="993" w:type="dxa"/>
            <w:noWrap w:val="0"/>
            <w:vAlign w:val="center"/>
          </w:tcPr>
          <w:p w14:paraId="641E7094">
            <w:pPr>
              <w:pStyle w:val="92"/>
              <w:bidi w:val="0"/>
              <w:rPr>
                <w:color w:val="auto"/>
                <w:highlight w:val="none"/>
              </w:rPr>
            </w:pPr>
            <w:r>
              <w:rPr>
                <w:rFonts w:hint="eastAsia"/>
                <w:color w:val="auto"/>
                <w:highlight w:val="none"/>
              </w:rPr>
              <w:t>—</w:t>
            </w:r>
          </w:p>
        </w:tc>
        <w:tc>
          <w:tcPr>
            <w:tcW w:w="741" w:type="dxa"/>
            <w:noWrap w:val="0"/>
            <w:vAlign w:val="center"/>
          </w:tcPr>
          <w:p w14:paraId="594ED838">
            <w:pPr>
              <w:pStyle w:val="92"/>
              <w:bidi w:val="0"/>
              <w:rPr>
                <w:rFonts w:hint="default" w:eastAsia="宋体"/>
                <w:color w:val="auto"/>
                <w:highlight w:val="none"/>
                <w:lang w:val="en-US" w:eastAsia="zh-CN"/>
              </w:rPr>
            </w:pPr>
            <w:r>
              <w:rPr>
                <w:rFonts w:hint="eastAsia"/>
                <w:color w:val="auto"/>
                <w:highlight w:val="none"/>
                <w:lang w:val="en-US" w:eastAsia="zh-CN"/>
              </w:rPr>
              <w:t>6.3</w:t>
            </w:r>
          </w:p>
        </w:tc>
        <w:tc>
          <w:tcPr>
            <w:tcW w:w="655" w:type="dxa"/>
            <w:noWrap w:val="0"/>
            <w:vAlign w:val="center"/>
          </w:tcPr>
          <w:p w14:paraId="231EC01E">
            <w:pPr>
              <w:pStyle w:val="92"/>
              <w:bidi w:val="0"/>
              <w:rPr>
                <w:color w:val="auto"/>
                <w:highlight w:val="none"/>
              </w:rPr>
            </w:pPr>
            <w:r>
              <w:rPr>
                <w:rFonts w:hint="eastAsia"/>
                <w:color w:val="auto"/>
                <w:highlight w:val="none"/>
              </w:rPr>
              <w:t>—</w:t>
            </w:r>
          </w:p>
        </w:tc>
        <w:tc>
          <w:tcPr>
            <w:tcW w:w="774" w:type="dxa"/>
            <w:shd w:val="clear" w:color="auto" w:fill="auto"/>
            <w:noWrap w:val="0"/>
            <w:vAlign w:val="center"/>
          </w:tcPr>
          <w:p w14:paraId="5B06562D">
            <w:pPr>
              <w:pStyle w:val="92"/>
              <w:bidi w:val="0"/>
              <w:ind w:firstLine="0" w:firstLineChars="0"/>
              <w:rPr>
                <w:rFonts w:hint="default" w:ascii="Times New Roman" w:hAnsi="Times New Roman" w:eastAsia="宋体" w:cs="宋体"/>
                <w:color w:val="auto"/>
                <w:kern w:val="2"/>
                <w:sz w:val="21"/>
                <w:highlight w:val="none"/>
                <w:lang w:val="en-US" w:eastAsia="zh-CN" w:bidi="ar-SA"/>
              </w:rPr>
            </w:pPr>
            <w:r>
              <w:rPr>
                <w:rFonts w:hint="eastAsia"/>
                <w:color w:val="auto"/>
                <w:highlight w:val="none"/>
                <w:lang w:val="en-US" w:eastAsia="zh-CN"/>
              </w:rPr>
              <w:t>8.7</w:t>
            </w:r>
          </w:p>
        </w:tc>
        <w:tc>
          <w:tcPr>
            <w:tcW w:w="796" w:type="dxa"/>
            <w:shd w:val="clear" w:color="auto" w:fill="auto"/>
            <w:noWrap w:val="0"/>
            <w:vAlign w:val="center"/>
          </w:tcPr>
          <w:p w14:paraId="04294A77">
            <w:pPr>
              <w:pStyle w:val="92"/>
              <w:bidi w:val="0"/>
              <w:ind w:firstLine="0" w:firstLineChars="0"/>
              <w:rPr>
                <w:rFonts w:hint="default" w:ascii="Times New Roman" w:hAnsi="Times New Roman" w:eastAsia="宋体" w:cs="宋体"/>
                <w:color w:val="auto"/>
                <w:kern w:val="2"/>
                <w:sz w:val="21"/>
                <w:highlight w:val="none"/>
                <w:lang w:val="en-US" w:eastAsia="zh-CN" w:bidi="ar-SA"/>
              </w:rPr>
            </w:pPr>
            <w:r>
              <w:rPr>
                <w:rFonts w:hint="eastAsia"/>
                <w:color w:val="auto"/>
                <w:highlight w:val="none"/>
                <w:lang w:val="en-US" w:eastAsia="zh-CN"/>
              </w:rPr>
              <w:t>13.9</w:t>
            </w:r>
          </w:p>
        </w:tc>
        <w:tc>
          <w:tcPr>
            <w:tcW w:w="582" w:type="dxa"/>
            <w:shd w:val="clear" w:color="auto" w:fill="auto"/>
            <w:noWrap w:val="0"/>
            <w:vAlign w:val="center"/>
          </w:tcPr>
          <w:p w14:paraId="4293F86B">
            <w:pPr>
              <w:pStyle w:val="92"/>
              <w:bidi w:val="0"/>
              <w:ind w:firstLine="0" w:firstLineChars="0"/>
              <w:rPr>
                <w:rFonts w:hint="default" w:ascii="Times New Roman" w:hAnsi="Times New Roman" w:eastAsia="宋体" w:cs="宋体"/>
                <w:color w:val="auto"/>
                <w:kern w:val="2"/>
                <w:sz w:val="21"/>
                <w:highlight w:val="none"/>
                <w:lang w:val="en-US" w:eastAsia="zh-CN" w:bidi="ar-SA"/>
              </w:rPr>
            </w:pPr>
            <w:r>
              <w:rPr>
                <w:rFonts w:hint="eastAsia"/>
                <w:color w:val="auto"/>
                <w:highlight w:val="none"/>
                <w:lang w:val="en-US" w:eastAsia="zh-CN"/>
              </w:rPr>
              <w:t>5.9</w:t>
            </w:r>
          </w:p>
        </w:tc>
      </w:tr>
      <w:tr w14:paraId="4672F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19981850">
            <w:pPr>
              <w:pStyle w:val="92"/>
              <w:bidi w:val="0"/>
              <w:rPr>
                <w:color w:val="auto"/>
                <w:highlight w:val="none"/>
              </w:rPr>
            </w:pPr>
            <w:r>
              <w:rPr>
                <w:rFonts w:hint="eastAsia"/>
                <w:color w:val="auto"/>
                <w:highlight w:val="none"/>
              </w:rPr>
              <w:t>油品卸车点</w:t>
            </w:r>
          </w:p>
        </w:tc>
        <w:tc>
          <w:tcPr>
            <w:tcW w:w="951" w:type="dxa"/>
            <w:noWrap w:val="0"/>
            <w:vAlign w:val="center"/>
          </w:tcPr>
          <w:p w14:paraId="44FCC020">
            <w:pPr>
              <w:pStyle w:val="92"/>
              <w:bidi w:val="0"/>
              <w:rPr>
                <w:rFonts w:hint="eastAsia"/>
                <w:color w:val="auto"/>
                <w:highlight w:val="none"/>
              </w:rPr>
            </w:pPr>
            <w:r>
              <w:rPr>
                <w:color w:val="auto"/>
                <w:highlight w:val="none"/>
              </w:rPr>
              <w:t>规范要求</w:t>
            </w:r>
          </w:p>
        </w:tc>
        <w:tc>
          <w:tcPr>
            <w:tcW w:w="775" w:type="dxa"/>
            <w:noWrap w:val="0"/>
            <w:vAlign w:val="center"/>
          </w:tcPr>
          <w:p w14:paraId="3576CEB1">
            <w:pPr>
              <w:pStyle w:val="92"/>
              <w:bidi w:val="0"/>
              <w:rPr>
                <w:color w:val="auto"/>
                <w:highlight w:val="none"/>
              </w:rPr>
            </w:pPr>
            <w:r>
              <w:rPr>
                <w:rFonts w:hint="eastAsia"/>
                <w:color w:val="auto"/>
                <w:highlight w:val="none"/>
              </w:rPr>
              <w:t>—</w:t>
            </w:r>
          </w:p>
        </w:tc>
        <w:tc>
          <w:tcPr>
            <w:tcW w:w="785" w:type="dxa"/>
            <w:noWrap w:val="0"/>
            <w:vAlign w:val="center"/>
          </w:tcPr>
          <w:p w14:paraId="7E053163">
            <w:pPr>
              <w:pStyle w:val="92"/>
              <w:bidi w:val="0"/>
              <w:rPr>
                <w:color w:val="auto"/>
                <w:highlight w:val="none"/>
              </w:rPr>
            </w:pPr>
            <w:r>
              <w:rPr>
                <w:rFonts w:hint="eastAsia"/>
                <w:color w:val="auto"/>
                <w:highlight w:val="none"/>
              </w:rPr>
              <w:t>—</w:t>
            </w:r>
          </w:p>
        </w:tc>
        <w:tc>
          <w:tcPr>
            <w:tcW w:w="982" w:type="dxa"/>
            <w:noWrap w:val="0"/>
            <w:vAlign w:val="center"/>
          </w:tcPr>
          <w:p w14:paraId="14C04BF1">
            <w:pPr>
              <w:pStyle w:val="92"/>
              <w:bidi w:val="0"/>
              <w:rPr>
                <w:color w:val="auto"/>
                <w:highlight w:val="none"/>
              </w:rPr>
            </w:pPr>
            <w:r>
              <w:rPr>
                <w:rFonts w:hint="eastAsia"/>
                <w:color w:val="auto"/>
                <w:highlight w:val="none"/>
              </w:rPr>
              <w:t>3</w:t>
            </w:r>
          </w:p>
        </w:tc>
        <w:tc>
          <w:tcPr>
            <w:tcW w:w="993" w:type="dxa"/>
            <w:noWrap w:val="0"/>
            <w:vAlign w:val="center"/>
          </w:tcPr>
          <w:p w14:paraId="2AC038C9">
            <w:pPr>
              <w:pStyle w:val="92"/>
              <w:bidi w:val="0"/>
              <w:rPr>
                <w:color w:val="auto"/>
                <w:highlight w:val="none"/>
              </w:rPr>
            </w:pPr>
            <w:r>
              <w:rPr>
                <w:rFonts w:hint="eastAsia"/>
                <w:color w:val="auto"/>
                <w:highlight w:val="none"/>
              </w:rPr>
              <w:t>2</w:t>
            </w:r>
          </w:p>
        </w:tc>
        <w:tc>
          <w:tcPr>
            <w:tcW w:w="741" w:type="dxa"/>
            <w:noWrap w:val="0"/>
            <w:vAlign w:val="center"/>
          </w:tcPr>
          <w:p w14:paraId="0A74B6C6">
            <w:pPr>
              <w:pStyle w:val="92"/>
              <w:bidi w:val="0"/>
              <w:rPr>
                <w:rFonts w:hint="eastAsia"/>
                <w:color w:val="auto"/>
                <w:highlight w:val="none"/>
              </w:rPr>
            </w:pPr>
            <w:r>
              <w:rPr>
                <w:rFonts w:hint="eastAsia"/>
                <w:color w:val="auto"/>
                <w:highlight w:val="none"/>
              </w:rPr>
              <w:t>—</w:t>
            </w:r>
          </w:p>
        </w:tc>
        <w:tc>
          <w:tcPr>
            <w:tcW w:w="655" w:type="dxa"/>
            <w:noWrap w:val="0"/>
            <w:vAlign w:val="center"/>
          </w:tcPr>
          <w:p w14:paraId="542CD12E">
            <w:pPr>
              <w:pStyle w:val="92"/>
              <w:bidi w:val="0"/>
              <w:rPr>
                <w:color w:val="auto"/>
                <w:highlight w:val="none"/>
              </w:rPr>
            </w:pPr>
            <w:r>
              <w:rPr>
                <w:rFonts w:hint="eastAsia"/>
                <w:color w:val="auto"/>
                <w:highlight w:val="none"/>
              </w:rPr>
              <w:t>—</w:t>
            </w:r>
          </w:p>
        </w:tc>
        <w:tc>
          <w:tcPr>
            <w:tcW w:w="774" w:type="dxa"/>
            <w:noWrap w:val="0"/>
            <w:vAlign w:val="center"/>
          </w:tcPr>
          <w:p w14:paraId="5897A19A">
            <w:pPr>
              <w:pStyle w:val="92"/>
              <w:bidi w:val="0"/>
              <w:rPr>
                <w:color w:val="auto"/>
                <w:highlight w:val="none"/>
              </w:rPr>
            </w:pPr>
            <w:r>
              <w:rPr>
                <w:rFonts w:hint="eastAsia"/>
                <w:color w:val="auto"/>
                <w:highlight w:val="none"/>
              </w:rPr>
              <w:t>5</w:t>
            </w:r>
          </w:p>
        </w:tc>
        <w:tc>
          <w:tcPr>
            <w:tcW w:w="796" w:type="dxa"/>
            <w:noWrap w:val="0"/>
            <w:vAlign w:val="center"/>
          </w:tcPr>
          <w:p w14:paraId="15862C8D">
            <w:pPr>
              <w:pStyle w:val="92"/>
              <w:bidi w:val="0"/>
              <w:rPr>
                <w:rFonts w:hint="eastAsia" w:eastAsia="宋体"/>
                <w:color w:val="auto"/>
                <w:highlight w:val="none"/>
                <w:lang w:val="en-US" w:eastAsia="zh-CN"/>
              </w:rPr>
            </w:pPr>
            <w:r>
              <w:rPr>
                <w:rFonts w:hint="eastAsia"/>
                <w:color w:val="auto"/>
                <w:highlight w:val="none"/>
                <w:lang w:val="en-US" w:eastAsia="zh-CN"/>
              </w:rPr>
              <w:t>8</w:t>
            </w:r>
          </w:p>
        </w:tc>
        <w:tc>
          <w:tcPr>
            <w:tcW w:w="582" w:type="dxa"/>
            <w:noWrap w:val="0"/>
            <w:vAlign w:val="center"/>
          </w:tcPr>
          <w:p w14:paraId="1ADF6B89">
            <w:pPr>
              <w:pStyle w:val="92"/>
              <w:bidi w:val="0"/>
              <w:rPr>
                <w:rFonts w:hint="eastAsia"/>
                <w:color w:val="auto"/>
                <w:highlight w:val="none"/>
              </w:rPr>
            </w:pPr>
            <w:r>
              <w:rPr>
                <w:rFonts w:hint="eastAsia"/>
                <w:color w:val="auto"/>
                <w:highlight w:val="none"/>
              </w:rPr>
              <w:t>—</w:t>
            </w:r>
          </w:p>
        </w:tc>
      </w:tr>
      <w:tr w14:paraId="3102D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3B99AC47">
            <w:pPr>
              <w:pStyle w:val="92"/>
              <w:bidi w:val="0"/>
              <w:rPr>
                <w:color w:val="auto"/>
                <w:highlight w:val="none"/>
              </w:rPr>
            </w:pPr>
          </w:p>
        </w:tc>
        <w:tc>
          <w:tcPr>
            <w:tcW w:w="951" w:type="dxa"/>
            <w:noWrap w:val="0"/>
            <w:vAlign w:val="center"/>
          </w:tcPr>
          <w:p w14:paraId="158F7F77">
            <w:pPr>
              <w:pStyle w:val="92"/>
              <w:bidi w:val="0"/>
              <w:rPr>
                <w:color w:val="auto"/>
                <w:highlight w:val="none"/>
              </w:rPr>
            </w:pPr>
            <w:r>
              <w:rPr>
                <w:rFonts w:hint="eastAsia"/>
                <w:color w:val="auto"/>
                <w:highlight w:val="none"/>
              </w:rPr>
              <w:t>实测</w:t>
            </w:r>
          </w:p>
        </w:tc>
        <w:tc>
          <w:tcPr>
            <w:tcW w:w="775" w:type="dxa"/>
            <w:noWrap w:val="0"/>
            <w:vAlign w:val="center"/>
          </w:tcPr>
          <w:p w14:paraId="7EFC52C9">
            <w:pPr>
              <w:pStyle w:val="92"/>
              <w:bidi w:val="0"/>
              <w:rPr>
                <w:color w:val="auto"/>
                <w:highlight w:val="none"/>
              </w:rPr>
            </w:pPr>
            <w:r>
              <w:rPr>
                <w:rFonts w:hint="eastAsia"/>
                <w:color w:val="auto"/>
                <w:highlight w:val="none"/>
              </w:rPr>
              <w:t>—</w:t>
            </w:r>
          </w:p>
        </w:tc>
        <w:tc>
          <w:tcPr>
            <w:tcW w:w="785" w:type="dxa"/>
            <w:noWrap w:val="0"/>
            <w:vAlign w:val="center"/>
          </w:tcPr>
          <w:p w14:paraId="0AADE537">
            <w:pPr>
              <w:pStyle w:val="92"/>
              <w:bidi w:val="0"/>
              <w:rPr>
                <w:color w:val="auto"/>
                <w:highlight w:val="none"/>
              </w:rPr>
            </w:pPr>
            <w:r>
              <w:rPr>
                <w:rFonts w:hint="eastAsia"/>
                <w:color w:val="auto"/>
                <w:highlight w:val="none"/>
              </w:rPr>
              <w:t>—</w:t>
            </w:r>
          </w:p>
        </w:tc>
        <w:tc>
          <w:tcPr>
            <w:tcW w:w="982" w:type="dxa"/>
            <w:noWrap w:val="0"/>
            <w:vAlign w:val="center"/>
          </w:tcPr>
          <w:p w14:paraId="3A556040">
            <w:pPr>
              <w:pStyle w:val="92"/>
              <w:bidi w:val="0"/>
              <w:rPr>
                <w:rFonts w:hint="default" w:eastAsia="宋体"/>
                <w:color w:val="auto"/>
                <w:highlight w:val="none"/>
                <w:lang w:val="en-US" w:eastAsia="zh-CN"/>
              </w:rPr>
            </w:pPr>
            <w:r>
              <w:rPr>
                <w:rFonts w:hint="eastAsia"/>
                <w:color w:val="auto"/>
                <w:highlight w:val="none"/>
                <w:lang w:val="en-US" w:eastAsia="zh-CN"/>
              </w:rPr>
              <w:t>6.3</w:t>
            </w:r>
          </w:p>
        </w:tc>
        <w:tc>
          <w:tcPr>
            <w:tcW w:w="993" w:type="dxa"/>
            <w:noWrap w:val="0"/>
            <w:vAlign w:val="center"/>
          </w:tcPr>
          <w:p w14:paraId="4128FBE8">
            <w:pPr>
              <w:pStyle w:val="92"/>
              <w:bidi w:val="0"/>
              <w:rPr>
                <w:rFonts w:hint="default" w:eastAsia="宋体"/>
                <w:color w:val="auto"/>
                <w:highlight w:val="none"/>
                <w:lang w:val="en-US" w:eastAsia="zh-CN"/>
              </w:rPr>
            </w:pPr>
            <w:r>
              <w:rPr>
                <w:rFonts w:hint="eastAsia"/>
                <w:color w:val="auto"/>
                <w:highlight w:val="none"/>
                <w:lang w:val="en-US" w:eastAsia="zh-CN"/>
              </w:rPr>
              <w:t>6.3</w:t>
            </w:r>
          </w:p>
        </w:tc>
        <w:tc>
          <w:tcPr>
            <w:tcW w:w="741" w:type="dxa"/>
            <w:noWrap w:val="0"/>
            <w:vAlign w:val="center"/>
          </w:tcPr>
          <w:p w14:paraId="4DBC7AA0">
            <w:pPr>
              <w:pStyle w:val="92"/>
              <w:bidi w:val="0"/>
              <w:rPr>
                <w:rFonts w:hint="eastAsia"/>
                <w:color w:val="auto"/>
                <w:highlight w:val="none"/>
              </w:rPr>
            </w:pPr>
            <w:r>
              <w:rPr>
                <w:rFonts w:hint="eastAsia"/>
                <w:color w:val="auto"/>
                <w:highlight w:val="none"/>
              </w:rPr>
              <w:t>—</w:t>
            </w:r>
          </w:p>
        </w:tc>
        <w:tc>
          <w:tcPr>
            <w:tcW w:w="655" w:type="dxa"/>
            <w:noWrap w:val="0"/>
            <w:vAlign w:val="center"/>
          </w:tcPr>
          <w:p w14:paraId="45F383B6">
            <w:pPr>
              <w:pStyle w:val="92"/>
              <w:bidi w:val="0"/>
              <w:rPr>
                <w:color w:val="auto"/>
                <w:highlight w:val="none"/>
              </w:rPr>
            </w:pPr>
            <w:r>
              <w:rPr>
                <w:rFonts w:hint="eastAsia"/>
                <w:color w:val="auto"/>
                <w:highlight w:val="none"/>
              </w:rPr>
              <w:t>—</w:t>
            </w:r>
          </w:p>
        </w:tc>
        <w:tc>
          <w:tcPr>
            <w:tcW w:w="774" w:type="dxa"/>
            <w:noWrap w:val="0"/>
            <w:vAlign w:val="center"/>
          </w:tcPr>
          <w:p w14:paraId="15D49109">
            <w:pPr>
              <w:pStyle w:val="92"/>
              <w:bidi w:val="0"/>
              <w:rPr>
                <w:rFonts w:hint="default" w:eastAsia="宋体"/>
                <w:color w:val="auto"/>
                <w:highlight w:val="none"/>
                <w:lang w:val="en-US" w:eastAsia="zh-CN"/>
              </w:rPr>
            </w:pPr>
            <w:r>
              <w:rPr>
                <w:rFonts w:hint="eastAsia"/>
                <w:color w:val="auto"/>
                <w:highlight w:val="none"/>
                <w:lang w:val="en-US" w:eastAsia="zh-CN"/>
              </w:rPr>
              <w:t>5.7</w:t>
            </w:r>
          </w:p>
        </w:tc>
        <w:tc>
          <w:tcPr>
            <w:tcW w:w="796" w:type="dxa"/>
            <w:noWrap w:val="0"/>
            <w:vAlign w:val="center"/>
          </w:tcPr>
          <w:p w14:paraId="7AC2F422">
            <w:pPr>
              <w:pStyle w:val="92"/>
              <w:bidi w:val="0"/>
              <w:rPr>
                <w:rFonts w:hint="default" w:eastAsia="宋体"/>
                <w:color w:val="auto"/>
                <w:highlight w:val="none"/>
                <w:lang w:val="en-US" w:eastAsia="zh-CN"/>
              </w:rPr>
            </w:pPr>
            <w:r>
              <w:rPr>
                <w:rFonts w:hint="eastAsia"/>
                <w:color w:val="auto"/>
                <w:highlight w:val="none"/>
                <w:lang w:val="en-US" w:eastAsia="zh-CN"/>
              </w:rPr>
              <w:t>23.8</w:t>
            </w:r>
          </w:p>
        </w:tc>
        <w:tc>
          <w:tcPr>
            <w:tcW w:w="582" w:type="dxa"/>
            <w:noWrap w:val="0"/>
            <w:vAlign w:val="center"/>
          </w:tcPr>
          <w:p w14:paraId="6466B4AB">
            <w:pPr>
              <w:pStyle w:val="92"/>
              <w:bidi w:val="0"/>
              <w:rPr>
                <w:color w:val="auto"/>
                <w:highlight w:val="none"/>
              </w:rPr>
            </w:pPr>
            <w:r>
              <w:rPr>
                <w:rFonts w:hint="eastAsia"/>
                <w:color w:val="auto"/>
                <w:highlight w:val="none"/>
              </w:rPr>
              <w:t>—</w:t>
            </w:r>
          </w:p>
        </w:tc>
      </w:tr>
      <w:tr w14:paraId="1DCE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noWrap w:val="0"/>
            <w:vAlign w:val="center"/>
          </w:tcPr>
          <w:p w14:paraId="622215A8">
            <w:pPr>
              <w:pStyle w:val="92"/>
              <w:bidi w:val="0"/>
              <w:rPr>
                <w:color w:val="auto"/>
                <w:highlight w:val="none"/>
              </w:rPr>
            </w:pPr>
            <w:r>
              <w:rPr>
                <w:rFonts w:hint="eastAsia"/>
                <w:color w:val="auto"/>
                <w:highlight w:val="none"/>
              </w:rPr>
              <w:t>加油机</w:t>
            </w:r>
          </w:p>
        </w:tc>
        <w:tc>
          <w:tcPr>
            <w:tcW w:w="951" w:type="dxa"/>
            <w:noWrap w:val="0"/>
            <w:vAlign w:val="center"/>
          </w:tcPr>
          <w:p w14:paraId="55A8D127">
            <w:pPr>
              <w:pStyle w:val="92"/>
              <w:bidi w:val="0"/>
              <w:rPr>
                <w:rFonts w:hint="eastAsia"/>
                <w:color w:val="auto"/>
                <w:highlight w:val="none"/>
              </w:rPr>
            </w:pPr>
            <w:r>
              <w:rPr>
                <w:color w:val="auto"/>
                <w:highlight w:val="none"/>
              </w:rPr>
              <w:t>规范要求</w:t>
            </w:r>
          </w:p>
        </w:tc>
        <w:tc>
          <w:tcPr>
            <w:tcW w:w="775" w:type="dxa"/>
            <w:noWrap w:val="0"/>
            <w:vAlign w:val="center"/>
          </w:tcPr>
          <w:p w14:paraId="61AAF7D3">
            <w:pPr>
              <w:pStyle w:val="92"/>
              <w:bidi w:val="0"/>
              <w:rPr>
                <w:color w:val="auto"/>
                <w:highlight w:val="none"/>
              </w:rPr>
            </w:pPr>
            <w:r>
              <w:rPr>
                <w:rFonts w:hint="eastAsia"/>
                <w:color w:val="auto"/>
                <w:highlight w:val="none"/>
              </w:rPr>
              <w:t>—</w:t>
            </w:r>
          </w:p>
        </w:tc>
        <w:tc>
          <w:tcPr>
            <w:tcW w:w="785" w:type="dxa"/>
            <w:noWrap w:val="0"/>
            <w:vAlign w:val="center"/>
          </w:tcPr>
          <w:p w14:paraId="7A9415AC">
            <w:pPr>
              <w:pStyle w:val="92"/>
              <w:bidi w:val="0"/>
              <w:rPr>
                <w:color w:val="auto"/>
                <w:highlight w:val="none"/>
              </w:rPr>
            </w:pPr>
            <w:r>
              <w:rPr>
                <w:rFonts w:hint="eastAsia"/>
                <w:color w:val="auto"/>
                <w:highlight w:val="none"/>
              </w:rPr>
              <w:t>—</w:t>
            </w:r>
          </w:p>
        </w:tc>
        <w:tc>
          <w:tcPr>
            <w:tcW w:w="982" w:type="dxa"/>
            <w:noWrap w:val="0"/>
            <w:vAlign w:val="center"/>
          </w:tcPr>
          <w:p w14:paraId="43E1BEE7">
            <w:pPr>
              <w:pStyle w:val="92"/>
              <w:bidi w:val="0"/>
              <w:rPr>
                <w:color w:val="auto"/>
                <w:highlight w:val="none"/>
              </w:rPr>
            </w:pPr>
            <w:r>
              <w:rPr>
                <w:rFonts w:hint="eastAsia"/>
                <w:color w:val="auto"/>
                <w:highlight w:val="none"/>
              </w:rPr>
              <w:t>—</w:t>
            </w:r>
          </w:p>
        </w:tc>
        <w:tc>
          <w:tcPr>
            <w:tcW w:w="993" w:type="dxa"/>
            <w:noWrap w:val="0"/>
            <w:vAlign w:val="center"/>
          </w:tcPr>
          <w:p w14:paraId="3B4F0051">
            <w:pPr>
              <w:pStyle w:val="92"/>
              <w:bidi w:val="0"/>
              <w:rPr>
                <w:color w:val="auto"/>
                <w:highlight w:val="none"/>
              </w:rPr>
            </w:pPr>
            <w:r>
              <w:rPr>
                <w:rFonts w:hint="eastAsia"/>
                <w:color w:val="auto"/>
                <w:highlight w:val="none"/>
              </w:rPr>
              <w:t>—</w:t>
            </w:r>
          </w:p>
        </w:tc>
        <w:tc>
          <w:tcPr>
            <w:tcW w:w="741" w:type="dxa"/>
            <w:noWrap w:val="0"/>
            <w:vAlign w:val="center"/>
          </w:tcPr>
          <w:p w14:paraId="0BDB07CF">
            <w:pPr>
              <w:pStyle w:val="92"/>
              <w:bidi w:val="0"/>
              <w:rPr>
                <w:rFonts w:hint="eastAsia"/>
                <w:color w:val="auto"/>
                <w:highlight w:val="none"/>
              </w:rPr>
            </w:pPr>
            <w:r>
              <w:rPr>
                <w:rFonts w:hint="eastAsia"/>
                <w:color w:val="auto"/>
                <w:highlight w:val="none"/>
              </w:rPr>
              <w:t>—</w:t>
            </w:r>
          </w:p>
        </w:tc>
        <w:tc>
          <w:tcPr>
            <w:tcW w:w="655" w:type="dxa"/>
            <w:noWrap w:val="0"/>
            <w:vAlign w:val="center"/>
          </w:tcPr>
          <w:p w14:paraId="679B8F8A">
            <w:pPr>
              <w:pStyle w:val="92"/>
              <w:bidi w:val="0"/>
              <w:rPr>
                <w:color w:val="auto"/>
                <w:highlight w:val="none"/>
              </w:rPr>
            </w:pPr>
            <w:r>
              <w:rPr>
                <w:rFonts w:hint="eastAsia"/>
                <w:color w:val="auto"/>
                <w:highlight w:val="none"/>
              </w:rPr>
              <w:t>—</w:t>
            </w:r>
          </w:p>
        </w:tc>
        <w:tc>
          <w:tcPr>
            <w:tcW w:w="774" w:type="dxa"/>
            <w:noWrap w:val="0"/>
            <w:vAlign w:val="center"/>
          </w:tcPr>
          <w:p w14:paraId="07852FE2">
            <w:pPr>
              <w:pStyle w:val="92"/>
              <w:bidi w:val="0"/>
              <w:rPr>
                <w:rFonts w:hint="eastAsia" w:eastAsia="宋体"/>
                <w:color w:val="auto"/>
                <w:highlight w:val="none"/>
                <w:lang w:eastAsia="zh-CN"/>
              </w:rPr>
            </w:pPr>
            <w:r>
              <w:rPr>
                <w:rFonts w:hint="eastAsia"/>
                <w:color w:val="auto"/>
                <w:highlight w:val="none"/>
              </w:rPr>
              <w:t>5</w:t>
            </w: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p>
        </w:tc>
        <w:tc>
          <w:tcPr>
            <w:tcW w:w="796" w:type="dxa"/>
            <w:noWrap w:val="0"/>
            <w:vAlign w:val="center"/>
          </w:tcPr>
          <w:p w14:paraId="34F1C329">
            <w:pPr>
              <w:pStyle w:val="92"/>
              <w:bidi w:val="0"/>
              <w:rPr>
                <w:rFonts w:hint="eastAsia" w:eastAsia="宋体"/>
                <w:color w:val="auto"/>
                <w:highlight w:val="none"/>
                <w:lang w:val="en-US" w:eastAsia="zh-CN"/>
              </w:rPr>
            </w:pPr>
            <w:r>
              <w:rPr>
                <w:rFonts w:hint="eastAsia"/>
                <w:color w:val="auto"/>
                <w:highlight w:val="none"/>
                <w:lang w:val="en-US" w:eastAsia="zh-CN"/>
              </w:rPr>
              <w:t>8（6）</w:t>
            </w:r>
          </w:p>
        </w:tc>
        <w:tc>
          <w:tcPr>
            <w:tcW w:w="582" w:type="dxa"/>
            <w:noWrap w:val="0"/>
            <w:vAlign w:val="center"/>
          </w:tcPr>
          <w:p w14:paraId="43999A30">
            <w:pPr>
              <w:pStyle w:val="92"/>
              <w:bidi w:val="0"/>
              <w:rPr>
                <w:color w:val="auto"/>
                <w:highlight w:val="none"/>
              </w:rPr>
            </w:pPr>
            <w:r>
              <w:rPr>
                <w:rFonts w:hint="eastAsia"/>
                <w:color w:val="auto"/>
                <w:highlight w:val="none"/>
              </w:rPr>
              <w:t>—</w:t>
            </w:r>
          </w:p>
        </w:tc>
      </w:tr>
      <w:tr w14:paraId="2CF50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noWrap w:val="0"/>
            <w:vAlign w:val="center"/>
          </w:tcPr>
          <w:p w14:paraId="61DC9816">
            <w:pPr>
              <w:pStyle w:val="92"/>
              <w:bidi w:val="0"/>
              <w:rPr>
                <w:color w:val="auto"/>
                <w:highlight w:val="none"/>
              </w:rPr>
            </w:pPr>
          </w:p>
        </w:tc>
        <w:tc>
          <w:tcPr>
            <w:tcW w:w="951" w:type="dxa"/>
            <w:noWrap w:val="0"/>
            <w:vAlign w:val="center"/>
          </w:tcPr>
          <w:p w14:paraId="131C5992">
            <w:pPr>
              <w:pStyle w:val="92"/>
              <w:bidi w:val="0"/>
              <w:rPr>
                <w:color w:val="auto"/>
                <w:highlight w:val="none"/>
              </w:rPr>
            </w:pPr>
            <w:r>
              <w:rPr>
                <w:rFonts w:hint="eastAsia"/>
                <w:color w:val="auto"/>
                <w:highlight w:val="none"/>
              </w:rPr>
              <w:t>实测</w:t>
            </w:r>
          </w:p>
        </w:tc>
        <w:tc>
          <w:tcPr>
            <w:tcW w:w="775" w:type="dxa"/>
            <w:noWrap w:val="0"/>
            <w:vAlign w:val="center"/>
          </w:tcPr>
          <w:p w14:paraId="2057DC53">
            <w:pPr>
              <w:pStyle w:val="92"/>
              <w:bidi w:val="0"/>
              <w:rPr>
                <w:color w:val="auto"/>
                <w:highlight w:val="none"/>
              </w:rPr>
            </w:pPr>
            <w:r>
              <w:rPr>
                <w:rFonts w:hint="eastAsia"/>
                <w:color w:val="auto"/>
                <w:highlight w:val="none"/>
              </w:rPr>
              <w:t>—</w:t>
            </w:r>
          </w:p>
        </w:tc>
        <w:tc>
          <w:tcPr>
            <w:tcW w:w="785" w:type="dxa"/>
            <w:noWrap w:val="0"/>
            <w:vAlign w:val="center"/>
          </w:tcPr>
          <w:p w14:paraId="26B45BF3">
            <w:pPr>
              <w:pStyle w:val="92"/>
              <w:bidi w:val="0"/>
              <w:rPr>
                <w:color w:val="auto"/>
                <w:highlight w:val="none"/>
              </w:rPr>
            </w:pPr>
            <w:r>
              <w:rPr>
                <w:rFonts w:hint="eastAsia"/>
                <w:color w:val="auto"/>
                <w:highlight w:val="none"/>
              </w:rPr>
              <w:t>—</w:t>
            </w:r>
          </w:p>
        </w:tc>
        <w:tc>
          <w:tcPr>
            <w:tcW w:w="982" w:type="dxa"/>
            <w:noWrap w:val="0"/>
            <w:vAlign w:val="center"/>
          </w:tcPr>
          <w:p w14:paraId="54606F5E">
            <w:pPr>
              <w:pStyle w:val="92"/>
              <w:bidi w:val="0"/>
              <w:rPr>
                <w:color w:val="auto"/>
                <w:highlight w:val="none"/>
              </w:rPr>
            </w:pPr>
            <w:r>
              <w:rPr>
                <w:rFonts w:hint="eastAsia"/>
                <w:color w:val="auto"/>
                <w:highlight w:val="none"/>
              </w:rPr>
              <w:t>—</w:t>
            </w:r>
          </w:p>
        </w:tc>
        <w:tc>
          <w:tcPr>
            <w:tcW w:w="993" w:type="dxa"/>
            <w:noWrap w:val="0"/>
            <w:vAlign w:val="center"/>
          </w:tcPr>
          <w:p w14:paraId="77D7DF41">
            <w:pPr>
              <w:pStyle w:val="92"/>
              <w:bidi w:val="0"/>
              <w:rPr>
                <w:color w:val="auto"/>
                <w:highlight w:val="none"/>
              </w:rPr>
            </w:pPr>
            <w:r>
              <w:rPr>
                <w:rFonts w:hint="eastAsia"/>
                <w:color w:val="auto"/>
                <w:highlight w:val="none"/>
              </w:rPr>
              <w:t>—</w:t>
            </w:r>
          </w:p>
        </w:tc>
        <w:tc>
          <w:tcPr>
            <w:tcW w:w="741" w:type="dxa"/>
            <w:noWrap w:val="0"/>
            <w:vAlign w:val="center"/>
          </w:tcPr>
          <w:p w14:paraId="4CD27DC3">
            <w:pPr>
              <w:pStyle w:val="92"/>
              <w:bidi w:val="0"/>
              <w:rPr>
                <w:rFonts w:hint="eastAsia"/>
                <w:color w:val="auto"/>
                <w:highlight w:val="none"/>
              </w:rPr>
            </w:pPr>
            <w:r>
              <w:rPr>
                <w:rFonts w:hint="eastAsia"/>
                <w:color w:val="auto"/>
                <w:highlight w:val="none"/>
              </w:rPr>
              <w:t>—</w:t>
            </w:r>
          </w:p>
        </w:tc>
        <w:tc>
          <w:tcPr>
            <w:tcW w:w="655" w:type="dxa"/>
            <w:noWrap w:val="0"/>
            <w:vAlign w:val="center"/>
          </w:tcPr>
          <w:p w14:paraId="1D1ADC58">
            <w:pPr>
              <w:pStyle w:val="92"/>
              <w:bidi w:val="0"/>
              <w:rPr>
                <w:color w:val="auto"/>
                <w:highlight w:val="none"/>
              </w:rPr>
            </w:pPr>
            <w:r>
              <w:rPr>
                <w:rFonts w:hint="eastAsia"/>
                <w:color w:val="auto"/>
                <w:highlight w:val="none"/>
              </w:rPr>
              <w:t>—</w:t>
            </w:r>
          </w:p>
        </w:tc>
        <w:tc>
          <w:tcPr>
            <w:tcW w:w="774" w:type="dxa"/>
            <w:noWrap w:val="0"/>
            <w:vAlign w:val="center"/>
          </w:tcPr>
          <w:p w14:paraId="0904AB35">
            <w:pPr>
              <w:pStyle w:val="92"/>
              <w:bidi w:val="0"/>
              <w:rPr>
                <w:rFonts w:hint="default" w:eastAsia="宋体"/>
                <w:color w:val="auto"/>
                <w:highlight w:val="none"/>
                <w:lang w:val="en-US" w:eastAsia="zh-CN"/>
              </w:rPr>
            </w:pPr>
            <w:r>
              <w:rPr>
                <w:rFonts w:hint="eastAsia"/>
                <w:color w:val="auto"/>
                <w:highlight w:val="none"/>
                <w:lang w:val="en-US" w:eastAsia="zh-CN"/>
              </w:rPr>
              <w:t>5.6（13.6）</w:t>
            </w:r>
          </w:p>
        </w:tc>
        <w:tc>
          <w:tcPr>
            <w:tcW w:w="796" w:type="dxa"/>
            <w:noWrap w:val="0"/>
            <w:vAlign w:val="center"/>
          </w:tcPr>
          <w:p w14:paraId="0D9D1408">
            <w:pPr>
              <w:pStyle w:val="92"/>
              <w:bidi w:val="0"/>
              <w:rPr>
                <w:rFonts w:hint="default" w:eastAsia="宋体"/>
                <w:color w:val="auto"/>
                <w:highlight w:val="none"/>
                <w:lang w:val="en-US" w:eastAsia="zh-CN"/>
              </w:rPr>
            </w:pPr>
            <w:r>
              <w:rPr>
                <w:rFonts w:hint="eastAsia"/>
                <w:color w:val="auto"/>
                <w:highlight w:val="none"/>
                <w:lang w:val="en-US" w:eastAsia="zh-CN"/>
              </w:rPr>
              <w:t>18.6（26.6）</w:t>
            </w:r>
          </w:p>
        </w:tc>
        <w:tc>
          <w:tcPr>
            <w:tcW w:w="582" w:type="dxa"/>
            <w:noWrap w:val="0"/>
            <w:vAlign w:val="center"/>
          </w:tcPr>
          <w:p w14:paraId="7C649D92">
            <w:pPr>
              <w:pStyle w:val="92"/>
              <w:bidi w:val="0"/>
              <w:rPr>
                <w:color w:val="auto"/>
                <w:highlight w:val="none"/>
              </w:rPr>
            </w:pPr>
            <w:r>
              <w:rPr>
                <w:rFonts w:hint="eastAsia"/>
                <w:color w:val="auto"/>
                <w:highlight w:val="none"/>
              </w:rPr>
              <w:t>—</w:t>
            </w:r>
          </w:p>
        </w:tc>
      </w:tr>
    </w:tbl>
    <w:p w14:paraId="0F2410A4">
      <w:pPr>
        <w:pStyle w:val="45"/>
        <w:spacing w:line="24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注：表中（</w:t>
      </w:r>
      <w:r>
        <w:rPr>
          <w:color w:val="000000" w:themeColor="text1"/>
          <w:sz w:val="24"/>
          <w:szCs w:val="24"/>
          <w:lang w:val="zh-CN"/>
          <w14:textFill>
            <w14:solidFill>
              <w14:schemeClr w14:val="tx1"/>
            </w14:solidFill>
          </w14:textFill>
        </w:rPr>
        <w:t>—</w:t>
      </w:r>
      <w:r>
        <w:rPr>
          <w:rFonts w:hint="eastAsia"/>
          <w:color w:val="000000" w:themeColor="text1"/>
          <w:sz w:val="24"/>
          <w:szCs w:val="24"/>
          <w14:textFill>
            <w14:solidFill>
              <w14:schemeClr w14:val="tx1"/>
            </w14:solidFill>
          </w14:textFill>
        </w:rPr>
        <w:t>）表示无防火间距要求。</w:t>
      </w:r>
    </w:p>
    <w:p w14:paraId="6A8D6942">
      <w:pPr>
        <w:rPr>
          <w:color w:val="000000" w:themeColor="text1"/>
          <w14:textFill>
            <w14:solidFill>
              <w14:schemeClr w14:val="tx1"/>
            </w14:solidFill>
          </w14:textFill>
        </w:rPr>
      </w:pPr>
      <w:r>
        <w:rPr>
          <w:rFonts w:hint="eastAsia"/>
          <w:color w:val="000000" w:themeColor="text1"/>
          <w14:textFill>
            <w14:solidFill>
              <w14:schemeClr w14:val="tx1"/>
            </w14:solidFill>
          </w14:textFill>
        </w:rPr>
        <w:t>从表2-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可得知，该加油站的各设施间的防火间距符合《汽车加油加气站加氢技术标准》（GB50156-2021）表5.0.13-1的要求。</w:t>
      </w:r>
      <w:bookmarkEnd w:id="96"/>
    </w:p>
    <w:p w14:paraId="186C6516">
      <w:pPr>
        <w:pStyle w:val="3"/>
        <w:rPr>
          <w:color w:val="000000" w:themeColor="text1"/>
          <w14:textFill>
            <w14:solidFill>
              <w14:schemeClr w14:val="tx1"/>
            </w14:solidFill>
          </w14:textFill>
        </w:rPr>
      </w:pPr>
      <w:bookmarkStart w:id="97" w:name="_Toc231975880"/>
      <w:bookmarkStart w:id="98" w:name="_Toc95275426"/>
      <w:bookmarkStart w:id="99" w:name="_Toc231976602"/>
      <w:bookmarkStart w:id="100" w:name="_Toc148078262"/>
      <w:bookmarkStart w:id="101" w:name="_Toc95275616"/>
      <w:bookmarkStart w:id="102" w:name="_Toc101358807"/>
      <w:bookmarkStart w:id="103" w:name="_Toc387163397"/>
      <w:bookmarkStart w:id="104" w:name="_Toc3420"/>
      <w:bookmarkStart w:id="105" w:name="_Toc2383"/>
      <w:bookmarkStart w:id="106" w:name="_Toc231982085"/>
      <w:bookmarkStart w:id="107" w:name="_Toc235587817"/>
      <w:bookmarkStart w:id="108" w:name="_Toc232084132"/>
      <w:bookmarkStart w:id="109" w:name="_Toc231835949"/>
      <w:bookmarkStart w:id="110" w:name="_Toc248220527"/>
      <w:bookmarkStart w:id="111" w:name="_Toc236123681"/>
      <w:bookmarkStart w:id="112" w:name="_Toc231983394"/>
      <w:bookmarkStart w:id="113" w:name="_Toc275268728"/>
      <w:bookmarkStart w:id="114" w:name="_Toc233515709"/>
      <w:r>
        <w:rPr>
          <w:color w:val="000000" w:themeColor="text1"/>
          <w14:textFill>
            <w14:solidFill>
              <w14:schemeClr w14:val="tx1"/>
            </w14:solidFill>
          </w14:textFill>
        </w:rPr>
        <w:t>加油站</w:t>
      </w:r>
      <w:bookmarkEnd w:id="97"/>
      <w:bookmarkEnd w:id="98"/>
      <w:bookmarkEnd w:id="99"/>
      <w:bookmarkEnd w:id="100"/>
      <w:bookmarkEnd w:id="101"/>
      <w:bookmarkEnd w:id="102"/>
      <w:r>
        <w:rPr>
          <w:color w:val="000000" w:themeColor="text1"/>
          <w14:textFill>
            <w14:solidFill>
              <w14:schemeClr w14:val="tx1"/>
            </w14:solidFill>
          </w14:textFill>
        </w:rPr>
        <w:t>工艺</w:t>
      </w:r>
      <w:bookmarkEnd w:id="103"/>
      <w:r>
        <w:rPr>
          <w:rFonts w:hint="eastAsia"/>
          <w:color w:val="000000" w:themeColor="text1"/>
          <w14:textFill>
            <w14:solidFill>
              <w14:schemeClr w14:val="tx1"/>
            </w14:solidFill>
          </w14:textFill>
        </w:rPr>
        <w:t>流程</w:t>
      </w:r>
      <w:bookmarkEnd w:id="104"/>
      <w:bookmarkEnd w:id="105"/>
    </w:p>
    <w:p w14:paraId="3D70066B">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pt-BR"/>
          <w14:textFill>
            <w14:solidFill>
              <w14:schemeClr w14:val="tx1"/>
            </w14:solidFill>
          </w14:textFill>
        </w:rPr>
        <w:t>汽油卸油及加油工艺</w:t>
      </w:r>
    </w:p>
    <w:p w14:paraId="7C34D399">
      <w:pPr>
        <w:bidi w:val="0"/>
        <w:rPr>
          <w:rFonts w:hint="eastAsia"/>
          <w:color w:val="auto"/>
        </w:rPr>
      </w:pPr>
      <w:r>
        <w:rPr>
          <w:rFonts w:hint="eastAsia"/>
          <w:color w:val="auto"/>
        </w:rPr>
        <w:t>该</w:t>
      </w:r>
      <w:r>
        <w:rPr>
          <w:color w:val="auto"/>
        </w:rPr>
        <w:t>加油站采用密闭卸油方式</w:t>
      </w:r>
      <w:r>
        <w:rPr>
          <w:rFonts w:hint="eastAsia"/>
          <w:color w:val="auto"/>
        </w:rPr>
        <w:t>及潜油泵发油、自封式加油枪加油工艺。即汽油经油罐车运输至加油站，在卸车点采用密闭卸油方式将汽油卸入埋地储油罐，汽油埋地油罐因注入汽油而排出油气，此油气经过气相管输回油罐车油罐内，完成卸油过程的油气回收。常温常压条件下，汽油在储油罐内以液体形式存在。加油时，与加油机相对应的潜油泵，将汽油由油罐中泵出，经出油管道送入加油机，通过自封式加油枪注入汽车油箱。加油时油气经气相管回收至加油机内真空泵，再经过真空泵回收至储油罐。</w:t>
      </w:r>
    </w:p>
    <w:p w14:paraId="7BCF3279">
      <w:pPr>
        <w:keepNext w:val="0"/>
        <w:keepLines w:val="0"/>
        <w:pageBreakBefore w:val="0"/>
        <w:widowControl w:val="0"/>
        <w:kinsoku/>
        <w:wordWrap/>
        <w:overflowPunct/>
        <w:autoSpaceDE/>
        <w:autoSpaceDN/>
        <w:bidi w:val="0"/>
        <w:snapToGrid w:val="0"/>
        <w:spacing w:line="500" w:lineRule="exact"/>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汽油卸油及加油工艺流程图（有卸油、加油油气回收）：</w:t>
      </w:r>
    </w:p>
    <w:p w14:paraId="299790EA">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000000" w:themeColor="text1"/>
          <w:kern w:val="3"/>
          <w14:textFill>
            <w14:solidFill>
              <w14:schemeClr w14:val="tx1"/>
            </w14:solidFill>
          </w14:textFill>
        </w:rPr>
      </w:pPr>
      <w:r>
        <w:rPr>
          <w:color w:val="auto"/>
        </w:rPr>
        <mc:AlternateContent>
          <mc:Choice Requires="wpg">
            <w:drawing>
              <wp:inline distT="0" distB="0" distL="114300" distR="114300">
                <wp:extent cx="5472430" cy="1758950"/>
                <wp:effectExtent l="0" t="0" r="0" b="0"/>
                <wp:docPr id="14" name="组合 14"/>
                <wp:cNvGraphicFramePr/>
                <a:graphic xmlns:a="http://schemas.openxmlformats.org/drawingml/2006/main">
                  <a:graphicData uri="http://schemas.microsoft.com/office/word/2010/wordprocessingGroup">
                    <wpg:wgp>
                      <wpg:cNvGrpSpPr/>
                      <wpg:grpSpPr>
                        <a:xfrm>
                          <a:off x="0" y="0"/>
                          <a:ext cx="5472430" cy="1758950"/>
                          <a:chOff x="2118" y="5591"/>
                          <a:chExt cx="8618" cy="2770"/>
                        </a:xfrm>
                      </wpg:grpSpPr>
                      <wps:wsp>
                        <wps:cNvPr id="5" name="直接连接符 5"/>
                        <wps:cNvCnPr/>
                        <wps:spPr>
                          <a:xfrm flipH="1" flipV="1">
                            <a:off x="4440" y="7174"/>
                            <a:ext cx="0" cy="751"/>
                          </a:xfrm>
                          <a:prstGeom prst="line">
                            <a:avLst/>
                          </a:prstGeom>
                          <a:ln w="9525" cap="flat" cmpd="sng">
                            <a:solidFill>
                              <a:srgbClr val="000000"/>
                            </a:solidFill>
                            <a:prstDash val="solid"/>
                            <a:headEnd type="none" w="med" len="med"/>
                            <a:tailEnd type="none" w="med" len="med"/>
                          </a:ln>
                        </wps:spPr>
                        <wps:bodyPr upright="1"/>
                      </wps:wsp>
                      <wpg:grpSp>
                        <wpg:cNvPr id="31" name="组合 31"/>
                        <wpg:cNvGrpSpPr/>
                        <wpg:grpSpPr>
                          <a:xfrm>
                            <a:off x="2118" y="5591"/>
                            <a:ext cx="8618" cy="2770"/>
                            <a:chOff x="2118" y="5591"/>
                            <a:chExt cx="8618" cy="2770"/>
                          </a:xfrm>
                        </wpg:grpSpPr>
                        <wpg:grpSp>
                          <wpg:cNvPr id="15" name="组合 10"/>
                          <wpg:cNvGrpSpPr/>
                          <wpg:grpSpPr>
                            <a:xfrm>
                              <a:off x="2593" y="7234"/>
                              <a:ext cx="1847" cy="1127"/>
                              <a:chOff x="2761" y="4868"/>
                              <a:chExt cx="1847" cy="1127"/>
                            </a:xfrm>
                          </wpg:grpSpPr>
                          <wps:wsp>
                            <wps:cNvPr id="6" name="直接连接符 6"/>
                            <wps:cNvCnPr/>
                            <wps:spPr>
                              <a:xfrm>
                                <a:off x="2761" y="5548"/>
                                <a:ext cx="1847" cy="11"/>
                              </a:xfrm>
                              <a:prstGeom prst="line">
                                <a:avLst/>
                              </a:prstGeom>
                              <a:ln w="9525" cap="flat" cmpd="sng">
                                <a:solidFill>
                                  <a:srgbClr val="000000"/>
                                </a:solidFill>
                                <a:prstDash val="solid"/>
                                <a:headEnd type="none" w="med" len="med"/>
                                <a:tailEnd type="none" w="med" len="med"/>
                              </a:ln>
                            </wps:spPr>
                            <wps:bodyPr upright="1"/>
                          </wps:wsp>
                          <wps:wsp>
                            <wps:cNvPr id="16" name="直接连接符 7"/>
                            <wps:cNvCnPr/>
                            <wps:spPr>
                              <a:xfrm flipV="1">
                                <a:off x="2762" y="4868"/>
                                <a:ext cx="0" cy="681"/>
                              </a:xfrm>
                              <a:prstGeom prst="line">
                                <a:avLst/>
                              </a:prstGeom>
                              <a:ln w="9525" cap="flat" cmpd="sng">
                                <a:solidFill>
                                  <a:srgbClr val="000000"/>
                                </a:solidFill>
                                <a:prstDash val="solid"/>
                                <a:headEnd type="none" w="med" len="med"/>
                                <a:tailEnd type="triangle" w="med" len="med"/>
                              </a:ln>
                            </wps:spPr>
                            <wps:bodyPr upright="1"/>
                          </wps:wsp>
                          <wps:wsp>
                            <wps:cNvPr id="18" name="文本框 9"/>
                            <wps:cNvSpPr txBox="1"/>
                            <wps:spPr>
                              <a:xfrm>
                                <a:off x="3232" y="5369"/>
                                <a:ext cx="981" cy="626"/>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78BAC3A1">
                                  <w:pPr>
                                    <w:ind w:firstLine="0" w:firstLineChars="0"/>
                                  </w:pPr>
                                  <w:r>
                                    <w:rPr>
                                      <w:rFonts w:hint="eastAsia"/>
                                      <w:sz w:val="21"/>
                                      <w:szCs w:val="21"/>
                                    </w:rPr>
                                    <w:t>油气</w:t>
                                  </w:r>
                                </w:p>
                                <w:p w14:paraId="61DD0B71">
                                  <w:pPr>
                                    <w:spacing w:line="400" w:lineRule="exact"/>
                                    <w:ind w:firstLine="560"/>
                                    <w:jc w:val="center"/>
                                  </w:pPr>
                                </w:p>
                                <w:p w14:paraId="519C2F4D">
                                  <w:pPr>
                                    <w:ind w:firstLine="560"/>
                                  </w:pPr>
                                </w:p>
                                <w:p w14:paraId="6423ED61">
                                  <w:pPr>
                                    <w:ind w:firstLine="560"/>
                                  </w:pPr>
                                </w:p>
                              </w:txbxContent>
                            </wps:txbx>
                            <wps:bodyPr upright="1"/>
                          </wps:wsp>
                        </wpg:grpSp>
                        <wps:wsp>
                          <wps:cNvPr id="19" name="直接连接符 11"/>
                          <wps:cNvCnPr/>
                          <wps:spPr>
                            <a:xfrm flipV="1">
                              <a:off x="4133" y="5896"/>
                              <a:ext cx="2915" cy="16"/>
                            </a:xfrm>
                            <a:prstGeom prst="line">
                              <a:avLst/>
                            </a:prstGeom>
                            <a:ln w="9525" cap="flat" cmpd="sng">
                              <a:solidFill>
                                <a:srgbClr val="000000"/>
                              </a:solidFill>
                              <a:prstDash val="solid"/>
                              <a:headEnd type="none" w="med" len="med"/>
                              <a:tailEnd type="none" w="med" len="med"/>
                            </a:ln>
                          </wps:spPr>
                          <wps:bodyPr upright="1"/>
                        </wps:wsp>
                        <wps:wsp>
                          <wps:cNvPr id="20" name="直接连接符 12"/>
                          <wps:cNvCnPr/>
                          <wps:spPr>
                            <a:xfrm flipH="1">
                              <a:off x="4133" y="5906"/>
                              <a:ext cx="1" cy="617"/>
                            </a:xfrm>
                            <a:prstGeom prst="line">
                              <a:avLst/>
                            </a:prstGeom>
                            <a:ln w="9525" cap="flat" cmpd="sng">
                              <a:solidFill>
                                <a:srgbClr val="000000"/>
                              </a:solidFill>
                              <a:prstDash val="solid"/>
                              <a:headEnd type="none" w="med" len="med"/>
                              <a:tailEnd type="triangle" w="med" len="med"/>
                            </a:ln>
                          </wps:spPr>
                          <wps:bodyPr upright="1"/>
                        </wps:wsp>
                        <wps:wsp>
                          <wps:cNvPr id="21" name="直接连接符 13"/>
                          <wps:cNvCnPr/>
                          <wps:spPr>
                            <a:xfrm>
                              <a:off x="9819" y="5899"/>
                              <a:ext cx="1" cy="624"/>
                            </a:xfrm>
                            <a:prstGeom prst="line">
                              <a:avLst/>
                            </a:prstGeom>
                            <a:ln w="9525" cap="flat" cmpd="sng">
                              <a:solidFill>
                                <a:srgbClr val="000000"/>
                              </a:solidFill>
                              <a:prstDash val="solid"/>
                              <a:headEnd type="none" w="med" len="med"/>
                              <a:tailEnd type="none" w="med" len="med"/>
                            </a:ln>
                          </wps:spPr>
                          <wps:bodyPr upright="1"/>
                        </wps:wsp>
                        <wps:wsp>
                          <wps:cNvPr id="22" name="文本框 14"/>
                          <wps:cNvSpPr txBox="1"/>
                          <wps:spPr>
                            <a:xfrm>
                              <a:off x="5041" y="5660"/>
                              <a:ext cx="1018" cy="67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381D1A85">
                                <w:pPr>
                                  <w:ind w:firstLine="0" w:firstLineChars="0"/>
                                </w:pPr>
                                <w:r>
                                  <w:rPr>
                                    <w:rFonts w:hint="eastAsia"/>
                                    <w:sz w:val="21"/>
                                    <w:szCs w:val="21"/>
                                  </w:rPr>
                                  <w:t>油气</w:t>
                                </w:r>
                              </w:p>
                              <w:p w14:paraId="043267EF">
                                <w:pPr>
                                  <w:spacing w:line="400" w:lineRule="exact"/>
                                  <w:ind w:firstLine="560"/>
                                </w:pPr>
                                <w:r>
                                  <w:rPr>
                                    <w:rFonts w:hint="eastAsia"/>
                                  </w:rPr>
                                  <w:t>罐</w:t>
                                </w:r>
                              </w:p>
                            </w:txbxContent>
                          </wps:txbx>
                          <wps:bodyPr upright="1"/>
                        </wps:wsp>
                        <wps:wsp>
                          <wps:cNvPr id="23" name="直接连接符 15"/>
                          <wps:cNvCnPr/>
                          <wps:spPr>
                            <a:xfrm flipH="1" flipV="1">
                              <a:off x="8041" y="5899"/>
                              <a:ext cx="276" cy="6"/>
                            </a:xfrm>
                            <a:prstGeom prst="line">
                              <a:avLst/>
                            </a:prstGeom>
                            <a:ln w="12700" cap="flat" cmpd="sng">
                              <a:solidFill>
                                <a:srgbClr val="000000"/>
                              </a:solidFill>
                              <a:prstDash val="solid"/>
                              <a:headEnd type="none" w="med" len="med"/>
                              <a:tailEnd type="triangle" w="med" len="med"/>
                            </a:ln>
                          </wps:spPr>
                          <wps:bodyPr upright="1"/>
                        </wps:wsp>
                        <wps:wsp>
                          <wps:cNvPr id="25" name="直接连接符 16"/>
                          <wps:cNvCnPr/>
                          <wps:spPr>
                            <a:xfrm flipV="1">
                              <a:off x="8303" y="5905"/>
                              <a:ext cx="1529" cy="1"/>
                            </a:xfrm>
                            <a:prstGeom prst="line">
                              <a:avLst/>
                            </a:prstGeom>
                            <a:ln w="15875" cap="flat" cmpd="sng">
                              <a:solidFill>
                                <a:srgbClr val="000000"/>
                              </a:solidFill>
                              <a:prstDash val="solid"/>
                              <a:headEnd type="none" w="med" len="med"/>
                              <a:tailEnd type="none" w="med" len="med"/>
                            </a:ln>
                          </wps:spPr>
                          <wps:bodyPr upright="1"/>
                        </wps:wsp>
                        <wps:wsp>
                          <wps:cNvPr id="27" name="文本框 17"/>
                          <wps:cNvSpPr txBox="1"/>
                          <wps:spPr>
                            <a:xfrm>
                              <a:off x="8547" y="5660"/>
                              <a:ext cx="960" cy="603"/>
                            </a:xfrm>
                            <a:prstGeom prst="rect">
                              <a:avLst/>
                            </a:prstGeom>
                            <a:gradFill rotWithShape="0">
                              <a:gsLst>
                                <a:gs pos="0">
                                  <a:srgbClr val="FFFFFF"/>
                                </a:gs>
                                <a:gs pos="100000">
                                  <a:srgbClr val="FFFFFF"/>
                                </a:gs>
                              </a:gsLst>
                              <a:lin ang="0"/>
                              <a:tileRect/>
                            </a:gradFill>
                            <a:ln w="9525" cap="flat" cmpd="sng">
                              <a:solidFill>
                                <a:srgbClr val="000000"/>
                              </a:solidFill>
                              <a:prstDash val="dash"/>
                              <a:miter/>
                              <a:headEnd type="none" w="med" len="med"/>
                              <a:tailEnd type="none" w="med" len="med"/>
                            </a:ln>
                          </wps:spPr>
                          <wps:txbx>
                            <w:txbxContent>
                              <w:p w14:paraId="0BAEE120">
                                <w:pPr>
                                  <w:ind w:firstLine="0" w:firstLineChars="0"/>
                                  <w:rPr>
                                    <w:sz w:val="21"/>
                                    <w:szCs w:val="21"/>
                                  </w:rPr>
                                </w:pPr>
                                <w:r>
                                  <w:rPr>
                                    <w:rFonts w:hint="eastAsia"/>
                                    <w:sz w:val="21"/>
                                    <w:szCs w:val="21"/>
                                  </w:rPr>
                                  <w:t>油气</w:t>
                                </w:r>
                              </w:p>
                              <w:p w14:paraId="36A0A945">
                                <w:pPr>
                                  <w:ind w:firstLine="560"/>
                                </w:pPr>
                              </w:p>
                              <w:p w14:paraId="567B6D7C">
                                <w:pPr>
                                  <w:spacing w:line="400" w:lineRule="exact"/>
                                  <w:ind w:firstLine="560"/>
                                </w:pPr>
                                <w:r>
                                  <w:rPr>
                                    <w:rFonts w:hint="eastAsia"/>
                                  </w:rPr>
                                  <w:t>加油车</w:t>
                                </w:r>
                              </w:p>
                            </w:txbxContent>
                          </wps:txbx>
                          <wps:bodyPr upright="1"/>
                        </wps:wsp>
                        <wps:wsp>
                          <wps:cNvPr id="28" name="矩形 18"/>
                          <wps:cNvSpPr/>
                          <wps:spPr>
                            <a:xfrm>
                              <a:off x="2118" y="6583"/>
                              <a:ext cx="978"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1BE3F1">
                                <w:pPr>
                                  <w:ind w:firstLine="0" w:firstLineChars="0"/>
                                  <w:rPr>
                                    <w:sz w:val="21"/>
                                    <w:szCs w:val="21"/>
                                  </w:rPr>
                                </w:pPr>
                                <w:r>
                                  <w:rPr>
                                    <w:rFonts w:hint="eastAsia"/>
                                    <w:sz w:val="21"/>
                                    <w:szCs w:val="21"/>
                                  </w:rPr>
                                  <w:t>油罐车</w:t>
                                </w:r>
                              </w:p>
                              <w:p w14:paraId="7BA14D00">
                                <w:pPr>
                                  <w:ind w:firstLine="560"/>
                                  <w:rPr>
                                    <w:sz w:val="21"/>
                                    <w:szCs w:val="21"/>
                                  </w:rPr>
                                </w:pPr>
                              </w:p>
                            </w:txbxContent>
                          </wps:txbx>
                          <wps:bodyPr upright="1"/>
                        </wps:wsp>
                        <wps:wsp>
                          <wps:cNvPr id="29" name="矩形 19"/>
                          <wps:cNvSpPr/>
                          <wps:spPr>
                            <a:xfrm>
                              <a:off x="3663" y="6523"/>
                              <a:ext cx="1247"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2271BF">
                                <w:pPr>
                                  <w:ind w:firstLine="0" w:firstLineChars="0"/>
                                  <w:rPr>
                                    <w:rFonts w:hint="eastAsia" w:eastAsia="宋体"/>
                                    <w:sz w:val="21"/>
                                    <w:szCs w:val="21"/>
                                  </w:rPr>
                                </w:pPr>
                                <w:r>
                                  <w:rPr>
                                    <w:rFonts w:hint="eastAsia" w:eastAsia="宋体"/>
                                    <w:sz w:val="21"/>
                                    <w:szCs w:val="21"/>
                                  </w:rPr>
                                  <w:t>储油罐</w:t>
                                </w:r>
                              </w:p>
                              <w:p w14:paraId="616FD7A7">
                                <w:pPr>
                                  <w:ind w:firstLine="560"/>
                                </w:pPr>
                              </w:p>
                            </w:txbxContent>
                          </wps:txbx>
                          <wps:bodyPr upright="1"/>
                        </wps:wsp>
                        <wps:wsp>
                          <wps:cNvPr id="35" name="矩形 20"/>
                          <wps:cNvSpPr/>
                          <wps:spPr>
                            <a:xfrm>
                              <a:off x="8862" y="6523"/>
                              <a:ext cx="1874" cy="64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0E22E4">
                                <w:pPr>
                                  <w:ind w:firstLine="0" w:firstLineChars="0"/>
                                  <w:rPr>
                                    <w:sz w:val="21"/>
                                    <w:szCs w:val="21"/>
                                  </w:rPr>
                                </w:pPr>
                                <w:r>
                                  <w:rPr>
                                    <w:rFonts w:hint="eastAsia"/>
                                    <w:sz w:val="21"/>
                                    <w:szCs w:val="21"/>
                                  </w:rPr>
                                  <w:t>加油车辆（油箱）</w:t>
                                </w:r>
                              </w:p>
                            </w:txbxContent>
                          </wps:txbx>
                          <wps:bodyPr upright="1"/>
                        </wps:wsp>
                        <wps:wsp>
                          <wps:cNvPr id="44" name="矩形 21"/>
                          <wps:cNvSpPr/>
                          <wps:spPr>
                            <a:xfrm>
                              <a:off x="7264" y="6521"/>
                              <a:ext cx="1247"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9DFCB7">
                                <w:pPr>
                                  <w:ind w:firstLine="0" w:firstLineChars="0"/>
                                </w:pPr>
                                <w:r>
                                  <w:rPr>
                                    <w:rFonts w:hint="eastAsia"/>
                                    <w:sz w:val="21"/>
                                    <w:szCs w:val="21"/>
                                  </w:rPr>
                                  <w:t>加油机</w:t>
                                </w:r>
                              </w:p>
                            </w:txbxContent>
                          </wps:txbx>
                          <wps:bodyPr upright="1"/>
                        </wps:wsp>
                        <wps:wsp>
                          <wps:cNvPr id="69" name="直接连接符 22"/>
                          <wps:cNvCnPr/>
                          <wps:spPr>
                            <a:xfrm>
                              <a:off x="3096" y="6844"/>
                              <a:ext cx="567" cy="0"/>
                            </a:xfrm>
                            <a:prstGeom prst="line">
                              <a:avLst/>
                            </a:prstGeom>
                            <a:ln w="9525" cap="flat" cmpd="sng">
                              <a:solidFill>
                                <a:srgbClr val="000000"/>
                              </a:solidFill>
                              <a:prstDash val="solid"/>
                              <a:headEnd type="none" w="med" len="med"/>
                              <a:tailEnd type="triangle" w="med" len="med"/>
                            </a:ln>
                          </wps:spPr>
                          <wps:bodyPr upright="1"/>
                        </wps:wsp>
                        <wps:wsp>
                          <wps:cNvPr id="71" name="直接连接符 23"/>
                          <wps:cNvCnPr/>
                          <wps:spPr>
                            <a:xfrm>
                              <a:off x="6705" y="6844"/>
                              <a:ext cx="567" cy="0"/>
                            </a:xfrm>
                            <a:prstGeom prst="line">
                              <a:avLst/>
                            </a:prstGeom>
                            <a:ln w="9525" cap="flat" cmpd="sng">
                              <a:solidFill>
                                <a:srgbClr val="000000"/>
                              </a:solidFill>
                              <a:prstDash val="solid"/>
                              <a:headEnd type="none" w="med" len="med"/>
                              <a:tailEnd type="triangle" w="med" len="med"/>
                            </a:ln>
                          </wps:spPr>
                          <wps:bodyPr upright="1"/>
                        </wps:wsp>
                        <wps:wsp>
                          <wps:cNvPr id="74" name="直接连接符 24"/>
                          <wps:cNvCnPr/>
                          <wps:spPr>
                            <a:xfrm>
                              <a:off x="8511" y="6844"/>
                              <a:ext cx="351" cy="0"/>
                            </a:xfrm>
                            <a:prstGeom prst="line">
                              <a:avLst/>
                            </a:prstGeom>
                            <a:ln w="9525" cap="flat" cmpd="sng">
                              <a:solidFill>
                                <a:srgbClr val="000000"/>
                              </a:solidFill>
                              <a:prstDash val="solid"/>
                              <a:headEnd type="none" w="med" len="med"/>
                              <a:tailEnd type="triangle" w="med" len="med"/>
                            </a:ln>
                          </wps:spPr>
                          <wps:bodyPr upright="1"/>
                        </wps:wsp>
                        <wps:wsp>
                          <wps:cNvPr id="77" name="矩形 25"/>
                          <wps:cNvSpPr/>
                          <wps:spPr>
                            <a:xfrm>
                              <a:off x="5473" y="6521"/>
                              <a:ext cx="1247"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004E8E">
                                <w:pPr>
                                  <w:ind w:firstLine="0" w:firstLineChars="0"/>
                                  <w:rPr>
                                    <w:sz w:val="21"/>
                                    <w:szCs w:val="21"/>
                                  </w:rPr>
                                </w:pPr>
                                <w:r>
                                  <w:rPr>
                                    <w:rFonts w:hint="eastAsia"/>
                                    <w:sz w:val="21"/>
                                    <w:szCs w:val="21"/>
                                  </w:rPr>
                                  <w:t>潜油泵</w:t>
                                </w:r>
                              </w:p>
                              <w:p w14:paraId="2279A5AD">
                                <w:pPr>
                                  <w:ind w:firstLine="560"/>
                                </w:pPr>
                              </w:p>
                            </w:txbxContent>
                          </wps:txbx>
                          <wps:bodyPr upright="1"/>
                        </wps:wsp>
                        <wps:wsp>
                          <wps:cNvPr id="78" name="直接连接符 26"/>
                          <wps:cNvCnPr/>
                          <wps:spPr>
                            <a:xfrm>
                              <a:off x="4906" y="6843"/>
                              <a:ext cx="567" cy="0"/>
                            </a:xfrm>
                            <a:prstGeom prst="line">
                              <a:avLst/>
                            </a:prstGeom>
                            <a:ln w="9525" cap="flat" cmpd="sng">
                              <a:solidFill>
                                <a:srgbClr val="000000"/>
                              </a:solidFill>
                              <a:prstDash val="solid"/>
                              <a:headEnd type="none" w="med" len="med"/>
                              <a:tailEnd type="triangle" w="med" len="med"/>
                            </a:ln>
                          </wps:spPr>
                          <wps:bodyPr upright="1"/>
                        </wps:wsp>
                        <wps:wsp>
                          <wps:cNvPr id="83" name="矩形 28"/>
                          <wps:cNvSpPr/>
                          <wps:spPr>
                            <a:xfrm>
                              <a:off x="7048" y="5591"/>
                              <a:ext cx="993" cy="662"/>
                            </a:xfrm>
                            <a:prstGeom prst="rect">
                              <a:avLst/>
                            </a:prstGeom>
                            <a:noFill/>
                            <a:ln w="9525" cap="flat" cmpd="sng">
                              <a:solidFill>
                                <a:srgbClr val="000000"/>
                              </a:solidFill>
                              <a:prstDash val="solid"/>
                              <a:miter/>
                              <a:headEnd type="none" w="med" len="med"/>
                              <a:tailEnd type="none" w="med" len="med"/>
                            </a:ln>
                          </wps:spPr>
                          <wps:txbx>
                            <w:txbxContent>
                              <w:p w14:paraId="2440874A">
                                <w:pPr>
                                  <w:spacing w:line="240" w:lineRule="exact"/>
                                  <w:ind w:firstLine="0" w:firstLineChars="0"/>
                                  <w:rPr>
                                    <w:sz w:val="21"/>
                                    <w:szCs w:val="21"/>
                                  </w:rPr>
                                </w:pPr>
                                <w:r>
                                  <w:rPr>
                                    <w:rFonts w:hint="eastAsia"/>
                                    <w:sz w:val="21"/>
                                    <w:szCs w:val="21"/>
                                  </w:rPr>
                                  <w:t>加油机真空泵</w:t>
                                </w:r>
                              </w:p>
                            </w:txbxContent>
                          </wps:txbx>
                          <wps:bodyPr upright="1"/>
                        </wps:wsp>
                      </wpg:grpSp>
                    </wpg:wgp>
                  </a:graphicData>
                </a:graphic>
              </wp:inline>
            </w:drawing>
          </mc:Choice>
          <mc:Fallback>
            <w:pict>
              <v:group id="_x0000_s1026" o:spid="_x0000_s1026" o:spt="203" style="height:138.5pt;width:430.9pt;" coordorigin="2118,5591" coordsize="8618,2770" o:gfxdata="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">
                <o:lock v:ext="edit" aspectratio="f"/>
                <v:line id="_x0000_s1026" o:spid="_x0000_s1026" o:spt="20" style="position:absolute;left:4440;top:7174;flip:x y;height:751;width:0;" filled="f" stroked="t" coordsize="21600,21600" o:gfxdata="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CIcLgAAADaAAAA&#10;DwAAAAAAAAABACAAAAAiAAAAZHJzL2Rvd25yZXYueG1sUEsBAhQAFAAAAAgAh07iQDMvBZ47AAAA&#10;OQAAABAAAAAAAAAAAQAgAAAABwEAAGRycy9zaGFwZXhtbC54bWxQSwUGAAAAAAYABgBbAQAAsQMA&#10;AAAA&#10;">
                  <v:fill on="f" focussize="0,0"/>
                  <v:stroke color="#000000" joinstyle="round"/>
                  <v:imagedata o:title=""/>
                  <o:lock v:ext="edit" aspectratio="f"/>
                </v:line>
                <v:group id="_x0000_s1026" o:spid="_x0000_s1026" o:spt="203" style="position:absolute;left:2118;top:5591;height:2770;width:8618;" coordorigin="2118,5591" coordsize="8618,2770"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group id="组合 10" o:spid="_x0000_s1026" o:spt="203" style="position:absolute;left:2593;top:7234;height:1127;width:1847;" coordorigin="2761,4868" coordsize="1847,1127"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line id="_x0000_s1026" o:spid="_x0000_s1026" o:spt="20" style="position:absolute;left:2761;top:5548;height:11;width:1847;" filled="f" stroked="t" coordsize="21600,21600" o:gfxdata="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6RfwvQAA&#10;ANo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7" o:spid="_x0000_s1026" o:spt="20" style="position:absolute;left:2762;top:4868;flip:y;height:681;width:0;" filled="f" stroked="t" coordsize="21600,21600" o:gfxdata="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X55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文本框 9" o:spid="_x0000_s1026" o:spt="202" type="#_x0000_t202" style="position:absolute;left:3232;top:5369;height:626;width:981;" fillcolor="#FFFFFF" filled="t" stroked="t" coordsize="21600,21600" o:gfxdata="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iUhPL4A&#10;AADb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78BAC3A1">
                            <w:pPr>
                              <w:ind w:firstLine="0" w:firstLineChars="0"/>
                            </w:pPr>
                            <w:r>
                              <w:rPr>
                                <w:rFonts w:hint="eastAsia"/>
                                <w:sz w:val="21"/>
                                <w:szCs w:val="21"/>
                              </w:rPr>
                              <w:t>油气</w:t>
                            </w:r>
                          </w:p>
                          <w:p w14:paraId="61DD0B71">
                            <w:pPr>
                              <w:spacing w:line="400" w:lineRule="exact"/>
                              <w:ind w:firstLine="560"/>
                              <w:jc w:val="center"/>
                            </w:pPr>
                          </w:p>
                          <w:p w14:paraId="519C2F4D">
                            <w:pPr>
                              <w:ind w:firstLine="560"/>
                            </w:pPr>
                          </w:p>
                          <w:p w14:paraId="6423ED61">
                            <w:pPr>
                              <w:ind w:firstLine="560"/>
                            </w:pPr>
                          </w:p>
                        </w:txbxContent>
                      </v:textbox>
                    </v:shape>
                  </v:group>
                  <v:line id="直接连接符 11" o:spid="_x0000_s1026" o:spt="20" style="position:absolute;left:4133;top:5896;flip:y;height:16;width:2915;" filled="f" stroked="t" coordsize="21600,21600" o:gfxdata="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whHH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2" o:spid="_x0000_s1026" o:spt="20" style="position:absolute;left:4133;top:5906;flip:x;height:617;width:1;" filled="f" stroked="t" coordsize="21600,21600" o:gfxdata="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R4Qy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接连接符 13" o:spid="_x0000_s1026" o:spt="20" style="position:absolute;left:9819;top:5899;height:624;width:1;" filled="f" stroked="t" coordsize="21600,21600" o:gfxdata="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cv46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文本框 14" o:spid="_x0000_s1026" o:spt="202" type="#_x0000_t202" style="position:absolute;left:5041;top:5660;height:670;width:1018;" fillcolor="#FFFFFF" filled="t" stroked="t" coordsize="21600,21600" o:gfxdata="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Hca74A&#10;AADb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381D1A85">
                          <w:pPr>
                            <w:ind w:firstLine="0" w:firstLineChars="0"/>
                          </w:pPr>
                          <w:r>
                            <w:rPr>
                              <w:rFonts w:hint="eastAsia"/>
                              <w:sz w:val="21"/>
                              <w:szCs w:val="21"/>
                            </w:rPr>
                            <w:t>油气</w:t>
                          </w:r>
                        </w:p>
                        <w:p w14:paraId="043267EF">
                          <w:pPr>
                            <w:spacing w:line="400" w:lineRule="exact"/>
                            <w:ind w:firstLine="560"/>
                          </w:pPr>
                          <w:r>
                            <w:rPr>
                              <w:rFonts w:hint="eastAsia"/>
                            </w:rPr>
                            <w:t>罐</w:t>
                          </w:r>
                        </w:p>
                      </w:txbxContent>
                    </v:textbox>
                  </v:shape>
                  <v:line id="直接连接符 15" o:spid="_x0000_s1026" o:spt="20" style="position:absolute;left:8041;top:5899;flip:x y;height:6;width:276;" filled="f" stroked="t" coordsize="21600,21600" o:gfxdata="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kTpa8AAAA&#10;2wAAAA8AAAAAAAAAAQAgAAAAIgAAAGRycy9kb3ducmV2LnhtbFBLAQIUABQAAAAIAIdO4kAzLwWe&#10;OwAAADkAAAAQAAAAAAAAAAEAIAAAAAsBAABkcnMvc2hhcGV4bWwueG1sUEsFBgAAAAAGAAYAWwEA&#10;ALUDAAAAAA==&#10;">
                    <v:fill on="f" focussize="0,0"/>
                    <v:stroke weight="1pt" color="#000000" joinstyle="round" endarrow="block"/>
                    <v:imagedata o:title=""/>
                    <o:lock v:ext="edit" aspectratio="f"/>
                  </v:line>
                  <v:line id="直接连接符 16" o:spid="_x0000_s1026" o:spt="20" style="position:absolute;left:8303;top:5905;flip:y;height:1;width:1529;" filled="f" stroked="t" coordsize="21600,21600" o:gfxdata="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BjobtwAAANsAAAAP&#10;AAAAAAAAAAEAIAAAACIAAABkcnMvZG93bnJldi54bWxQSwECFAAUAAAACACHTuJAMy8FnjsAAAA5&#10;AAAAEAAAAAAAAAABACAAAAAGAQAAZHJzL3NoYXBleG1sLnhtbFBLBQYAAAAABgAGAFsBAACwAwAA&#10;AAA=&#10;">
                    <v:fill on="f" focussize="0,0"/>
                    <v:stroke weight="1.25pt" color="#000000" joinstyle="round"/>
                    <v:imagedata o:title=""/>
                    <o:lock v:ext="edit" aspectratio="f"/>
                  </v:line>
                  <v:shape id="文本框 17" o:spid="_x0000_s1026" o:spt="202" type="#_x0000_t202" style="position:absolute;left:8547;top:5660;height:603;width:960;" fillcolor="#FFFFFF" filled="t" stroked="t" coordsize="21600,21600" o:gfxdata="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uHL74A&#10;AADbAAAADwAAAAAAAAABACAAAAAiAAAAZHJzL2Rvd25yZXYueG1sUEsBAhQAFAAAAAgAh07iQDMv&#10;BZ47AAAAOQAAABAAAAAAAAAAAQAgAAAADQEAAGRycy9zaGFwZXhtbC54bWxQSwUGAAAAAAYABgBb&#10;AQAAtwMAAAAA&#10;">
                    <v:fill type="gradient" on="t" color2="#FFFFFF" angle="90" focus="100%" focussize="0,0">
                      <o:fill type="gradientUnscaled" v:ext="backwardCompatible"/>
                    </v:fill>
                    <v:stroke color="#000000" joinstyle="miter" dashstyle="dash"/>
                    <v:imagedata o:title=""/>
                    <o:lock v:ext="edit" aspectratio="f"/>
                    <v:textbox>
                      <w:txbxContent>
                        <w:p w14:paraId="0BAEE120">
                          <w:pPr>
                            <w:ind w:firstLine="0" w:firstLineChars="0"/>
                            <w:rPr>
                              <w:sz w:val="21"/>
                              <w:szCs w:val="21"/>
                            </w:rPr>
                          </w:pPr>
                          <w:r>
                            <w:rPr>
                              <w:rFonts w:hint="eastAsia"/>
                              <w:sz w:val="21"/>
                              <w:szCs w:val="21"/>
                            </w:rPr>
                            <w:t>油气</w:t>
                          </w:r>
                        </w:p>
                        <w:p w14:paraId="36A0A945">
                          <w:pPr>
                            <w:ind w:firstLine="560"/>
                          </w:pPr>
                        </w:p>
                        <w:p w14:paraId="567B6D7C">
                          <w:pPr>
                            <w:spacing w:line="400" w:lineRule="exact"/>
                            <w:ind w:firstLine="560"/>
                          </w:pPr>
                          <w:r>
                            <w:rPr>
                              <w:rFonts w:hint="eastAsia"/>
                            </w:rPr>
                            <w:t>加油车</w:t>
                          </w:r>
                        </w:p>
                      </w:txbxContent>
                    </v:textbox>
                  </v:shape>
                  <v:rect id="矩形 18" o:spid="_x0000_s1026" o:spt="1" style="position:absolute;left:2118;top:6583;height:651;width:978;"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B1BE3F1">
                          <w:pPr>
                            <w:ind w:firstLine="0" w:firstLineChars="0"/>
                            <w:rPr>
                              <w:sz w:val="21"/>
                              <w:szCs w:val="21"/>
                            </w:rPr>
                          </w:pPr>
                          <w:r>
                            <w:rPr>
                              <w:rFonts w:hint="eastAsia"/>
                              <w:sz w:val="21"/>
                              <w:szCs w:val="21"/>
                            </w:rPr>
                            <w:t>油罐车</w:t>
                          </w:r>
                        </w:p>
                        <w:p w14:paraId="7BA14D00">
                          <w:pPr>
                            <w:ind w:firstLine="560"/>
                            <w:rPr>
                              <w:sz w:val="21"/>
                              <w:szCs w:val="21"/>
                            </w:rPr>
                          </w:pPr>
                        </w:p>
                      </w:txbxContent>
                    </v:textbox>
                  </v:rect>
                  <v:rect id="矩形 19" o:spid="_x0000_s1026" o:spt="1" style="position:absolute;left:3663;top:6523;height:651;width:1247;"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02271BF">
                          <w:pPr>
                            <w:ind w:firstLine="0" w:firstLineChars="0"/>
                            <w:rPr>
                              <w:rFonts w:hint="eastAsia" w:eastAsia="宋体"/>
                              <w:sz w:val="21"/>
                              <w:szCs w:val="21"/>
                            </w:rPr>
                          </w:pPr>
                          <w:r>
                            <w:rPr>
                              <w:rFonts w:hint="eastAsia" w:eastAsia="宋体"/>
                              <w:sz w:val="21"/>
                              <w:szCs w:val="21"/>
                            </w:rPr>
                            <w:t>储油罐</w:t>
                          </w:r>
                        </w:p>
                        <w:p w14:paraId="616FD7A7">
                          <w:pPr>
                            <w:ind w:firstLine="560"/>
                          </w:pPr>
                        </w:p>
                      </w:txbxContent>
                    </v:textbox>
                  </v:rect>
                  <v:rect id="矩形 20" o:spid="_x0000_s1026" o:spt="1" style="position:absolute;left:8862;top:6523;height:649;width:1874;" fillcolor="#FFFFFF" filled="t" stroked="t" coordsize="21600,21600" o:gfxdata="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e4Wm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80E22E4">
                          <w:pPr>
                            <w:ind w:firstLine="0" w:firstLineChars="0"/>
                            <w:rPr>
                              <w:sz w:val="21"/>
                              <w:szCs w:val="21"/>
                            </w:rPr>
                          </w:pPr>
                          <w:r>
                            <w:rPr>
                              <w:rFonts w:hint="eastAsia"/>
                              <w:sz w:val="21"/>
                              <w:szCs w:val="21"/>
                            </w:rPr>
                            <w:t>加油车辆（油箱）</w:t>
                          </w:r>
                        </w:p>
                      </w:txbxContent>
                    </v:textbox>
                  </v:rect>
                  <v:rect id="矩形 21" o:spid="_x0000_s1026" o:spt="1" style="position:absolute;left:7264;top:6521;height:651;width:1247;" fillcolor="#FFFFFF" filled="t" stroked="t" coordsize="21600,21600" o:gfxdata="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RQ3j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69DFCB7">
                          <w:pPr>
                            <w:ind w:firstLine="0" w:firstLineChars="0"/>
                          </w:pPr>
                          <w:r>
                            <w:rPr>
                              <w:rFonts w:hint="eastAsia"/>
                              <w:sz w:val="21"/>
                              <w:szCs w:val="21"/>
                            </w:rPr>
                            <w:t>加油机</w:t>
                          </w:r>
                        </w:p>
                      </w:txbxContent>
                    </v:textbox>
                  </v:rect>
                  <v:line id="直接连接符 22" o:spid="_x0000_s1026" o:spt="20" style="position:absolute;left:3096;top:6844;height:0;width:567;" filled="f" stroked="t" coordsize="21600,21600" o:gfxdata="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JUmS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3" o:spid="_x0000_s1026" o:spt="20" style="position:absolute;left:6705;top:6844;height:0;width:567;" filled="f" stroked="t" coordsize="21600,21600" o:gfxdata="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zq8k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24" o:spid="_x0000_s1026" o:spt="20" style="position:absolute;left:8511;top:6844;height:0;width:351;" filled="f" stroked="t" coordsize="21600,21600" o:gfxdata="UEsDBAoAAAAAAIdO4kAAAAAAAAAAAAAAAAAEAAAAZHJzL1BLAwQUAAAACACHTuJAy00fCL8AAADb&#10;AAAADwAAAGRycy9kb3ducmV2LnhtbEWPT2vCQBTE7wW/w/KE3uomUmqI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NHw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25" o:spid="_x0000_s1026" o:spt="1" style="position:absolute;left:5473;top:6521;height:651;width:1247;" fillcolor="#FFFFFF" filled="t" stroked="t" coordsize="21600,21600" o:gfxdata="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qmN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4004E8E">
                          <w:pPr>
                            <w:ind w:firstLine="0" w:firstLineChars="0"/>
                            <w:rPr>
                              <w:sz w:val="21"/>
                              <w:szCs w:val="21"/>
                            </w:rPr>
                          </w:pPr>
                          <w:r>
                            <w:rPr>
                              <w:rFonts w:hint="eastAsia"/>
                              <w:sz w:val="21"/>
                              <w:szCs w:val="21"/>
                            </w:rPr>
                            <w:t>潜油泵</w:t>
                          </w:r>
                        </w:p>
                        <w:p w14:paraId="2279A5AD">
                          <w:pPr>
                            <w:ind w:firstLine="560"/>
                          </w:pPr>
                        </w:p>
                      </w:txbxContent>
                    </v:textbox>
                  </v:rect>
                  <v:line id="直接连接符 26" o:spid="_x0000_s1026" o:spt="20" style="position:absolute;left:4906;top:6843;height:0;width:567;" filled="f" stroked="t" coordsize="21600,21600" o:gfxdata="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gAVD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rect id="矩形 28" o:spid="_x0000_s1026" o:spt="1" style="position:absolute;left:7048;top:5591;height:662;width:993;" filled="f" stroked="t" coordsize="21600,21600" o:gfxdata="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NiGv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2440874A">
                          <w:pPr>
                            <w:spacing w:line="240" w:lineRule="exact"/>
                            <w:ind w:firstLine="0" w:firstLineChars="0"/>
                            <w:rPr>
                              <w:sz w:val="21"/>
                              <w:szCs w:val="21"/>
                            </w:rPr>
                          </w:pPr>
                          <w:r>
                            <w:rPr>
                              <w:rFonts w:hint="eastAsia"/>
                              <w:sz w:val="21"/>
                              <w:szCs w:val="21"/>
                            </w:rPr>
                            <w:t>加油机真空泵</w:t>
                          </w:r>
                        </w:p>
                      </w:txbxContent>
                    </v:textbox>
                  </v:rect>
                </v:group>
                <w10:wrap type="none"/>
                <w10:anchorlock/>
              </v:group>
            </w:pict>
          </mc:Fallback>
        </mc:AlternateContent>
      </w:r>
    </w:p>
    <w:p w14:paraId="0B72A315">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color w:val="000000" w:themeColor="text1"/>
          <w14:textFill>
            <w14:solidFill>
              <w14:schemeClr w14:val="tx1"/>
            </w14:solidFill>
          </w14:textFill>
        </w:rPr>
      </w:pPr>
      <w:r>
        <w:rPr>
          <w:rFonts w:hint="eastAsia"/>
          <w:color w:val="000000" w:themeColor="text1"/>
          <w:kern w:val="3"/>
          <w14:textFill>
            <w14:solidFill>
              <w14:schemeClr w14:val="tx1"/>
            </w14:solidFill>
          </w14:textFill>
        </w:rPr>
        <w:t>图2-</w:t>
      </w:r>
      <w:r>
        <w:rPr>
          <w:color w:val="000000" w:themeColor="text1"/>
          <w:kern w:val="3"/>
          <w14:textFill>
            <w14:solidFill>
              <w14:schemeClr w14:val="tx1"/>
            </w14:solidFill>
          </w14:textFill>
        </w:rPr>
        <w:t>4</w:t>
      </w:r>
      <w:r>
        <w:rPr>
          <w:rFonts w:hint="eastAsia"/>
          <w:color w:val="000000" w:themeColor="text1"/>
          <w:kern w:val="3"/>
          <w14:textFill>
            <w14:solidFill>
              <w14:schemeClr w14:val="tx1"/>
            </w14:solidFill>
          </w14:textFill>
        </w:rPr>
        <w:t>汽油卸油及加油工艺流程示意图</w:t>
      </w:r>
    </w:p>
    <w:p w14:paraId="5A56492D">
      <w:pPr>
        <w:rPr>
          <w:color w:val="000000" w:themeColor="text1"/>
          <w14:textFill>
            <w14:solidFill>
              <w14:schemeClr w14:val="tx1"/>
            </w14:solidFill>
          </w14:textFill>
        </w:rPr>
      </w:pPr>
      <w:r>
        <w:rPr>
          <w:rFonts w:hint="eastAsia"/>
          <w:color w:val="000000" w:themeColor="text1"/>
          <w14:textFill>
            <w14:solidFill>
              <w14:schemeClr w14:val="tx1"/>
            </w14:solidFill>
          </w14:textFill>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经出油管道送入加油机，通过自封式加油枪注入汽车油箱。</w:t>
      </w:r>
    </w:p>
    <w:p w14:paraId="623F3C28">
      <w:pPr>
        <w:spacing w:after="50"/>
        <w:ind w:firstLine="576" w:firstLineChars="206"/>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柴油加油工艺流程图：</w:t>
      </w:r>
    </w:p>
    <w:p w14:paraId="45613112">
      <w:pPr>
        <w:pStyle w:val="39"/>
        <w:ind w:firstLine="48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60288" behindDoc="0" locked="0" layoutInCell="1" allowOverlap="1">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FAAD8C6">
                              <w:pPr>
                                <w:spacing w:line="380" w:lineRule="exact"/>
                                <w:ind w:firstLine="0" w:firstLineChars="0"/>
                                <w:rPr>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F31BA1F">
                              <w:pPr>
                                <w:spacing w:line="380" w:lineRule="exact"/>
                                <w:ind w:firstLine="0" w:firstLineChars="0"/>
                                <w:rPr>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DA5CD1">
                              <w:pPr>
                                <w:spacing w:line="380" w:lineRule="exact"/>
                                <w:ind w:firstLine="0" w:firstLineChars="0"/>
                                <w:rPr>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BC3EA75">
                              <w:pPr>
                                <w:spacing w:line="380" w:lineRule="exact"/>
                                <w:ind w:firstLine="0" w:firstLineChars="0"/>
                                <w:rPr>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428F86">
                              <w:pPr>
                                <w:spacing w:line="380" w:lineRule="exact"/>
                                <w:ind w:firstLine="0" w:firstLineChars="0"/>
                                <w:rPr>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24.9pt;margin-top:12.5pt;height:31.2pt;width:398.55pt;z-index:251660288;mso-width-relative:page;mso-height-relative:page;" coordsize="9345,624" o:gfxdata="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ESrpqLZAAAACAEAAA8AAAAAAAAAAQAgAAAAIgAAAGRycy9kb3ducmV2LnhtbFBLAQIUABQA&#10;AAAIAIdO4kCaI1I+fgMAAL0WAAAOAAAAAAAAAAEAIAAAACgBAABkcnMvZTJvRG9jLnhtbFBLBQYA&#10;AAAABgAGAFkBAAAYBwAAAAA=&#10;">
                <o:lock v:ext="edit" aspectratio="f"/>
                <v:shape id="_x0000_s1026" o:spid="_x0000_s1026" o:spt="202" type="#_x0000_t202" style="position:absolute;left:0;top:0;height:624;width:1260;"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FAAD8C6">
                        <w:pPr>
                          <w:spacing w:line="380" w:lineRule="exact"/>
                          <w:ind w:firstLine="0" w:firstLineChars="0"/>
                          <w:rPr>
                            <w:sz w:val="21"/>
                            <w:szCs w:val="21"/>
                          </w:rPr>
                        </w:pPr>
                        <w:r>
                          <w:rPr>
                            <w:rFonts w:hint="eastAsia"/>
                            <w:sz w:val="21"/>
                            <w:szCs w:val="21"/>
                          </w:rPr>
                          <w:t>油罐车</w:t>
                        </w:r>
                      </w:p>
                    </w:txbxContent>
                  </v:textbox>
                </v:shape>
                <v:shape id="_x0000_s1026" o:spid="_x0000_s1026" o:spt="202" type="#_x0000_t202" style="position:absolute;left:1980;top:0;height:624;width:126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F31BA1F">
                        <w:pPr>
                          <w:spacing w:line="380" w:lineRule="exact"/>
                          <w:ind w:firstLine="0" w:firstLineChars="0"/>
                          <w:rPr>
                            <w:sz w:val="21"/>
                            <w:szCs w:val="21"/>
                          </w:rPr>
                        </w:pPr>
                        <w:r>
                          <w:rPr>
                            <w:rFonts w:hint="eastAsia"/>
                            <w:sz w:val="21"/>
                            <w:szCs w:val="21"/>
                          </w:rPr>
                          <w:t>储油罐</w:t>
                        </w:r>
                      </w:p>
                    </w:txbxContent>
                  </v:textbox>
                </v:shape>
                <v:shape id="_x0000_s1026" o:spid="_x0000_s1026" o:spt="202" type="#_x0000_t202" style="position:absolute;left:3960;top:0;height:624;width:1260;"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ADA5CD1">
                        <w:pPr>
                          <w:spacing w:line="380" w:lineRule="exact"/>
                          <w:ind w:firstLine="0" w:firstLineChars="0"/>
                          <w:rPr>
                            <w:sz w:val="21"/>
                            <w:szCs w:val="21"/>
                          </w:rPr>
                        </w:pPr>
                        <w:r>
                          <w:rPr>
                            <w:rFonts w:hint="eastAsia"/>
                            <w:sz w:val="21"/>
                            <w:szCs w:val="21"/>
                          </w:rPr>
                          <w:t>潜油泵</w:t>
                        </w:r>
                      </w:p>
                    </w:txbxContent>
                  </v:textbox>
                </v:shape>
                <v:shape id="_x0000_s1026" o:spid="_x0000_s1026" o:spt="202" type="#_x0000_t202" style="position:absolute;left:5925;top:0;height:624;width:1260;"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BC3EA75">
                        <w:pPr>
                          <w:spacing w:line="380" w:lineRule="exact"/>
                          <w:ind w:firstLine="0" w:firstLineChars="0"/>
                          <w:rPr>
                            <w:sz w:val="21"/>
                            <w:szCs w:val="21"/>
                          </w:rPr>
                        </w:pPr>
                        <w:r>
                          <w:rPr>
                            <w:rFonts w:hint="eastAsia"/>
                            <w:sz w:val="21"/>
                            <w:szCs w:val="21"/>
                          </w:rPr>
                          <w:t>加油机</w:t>
                        </w:r>
                      </w:p>
                    </w:txbxContent>
                  </v:textbox>
                </v:shape>
                <v:shape id="_x0000_s1026" o:spid="_x0000_s1026" o:spt="202" type="#_x0000_t202" style="position:absolute;left:7905;top:0;height:624;width:1440;"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3428F86">
                        <w:pPr>
                          <w:spacing w:line="380" w:lineRule="exact"/>
                          <w:ind w:firstLine="0" w:firstLineChars="0"/>
                          <w:rPr>
                            <w:sz w:val="21"/>
                            <w:szCs w:val="21"/>
                          </w:rPr>
                        </w:pPr>
                        <w:r>
                          <w:rPr>
                            <w:rFonts w:hint="eastAsia"/>
                            <w:sz w:val="21"/>
                            <w:szCs w:val="21"/>
                          </w:rPr>
                          <w:t>加油车辆</w:t>
                        </w:r>
                      </w:p>
                    </w:txbxContent>
                  </v:textbox>
                </v:shape>
                <v:line id="_x0000_s1026" o:spid="_x0000_s1026" o:spt="20" style="position:absolute;left:1245;top:312;height:1;width:72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3240;top:312;height:1;width:720;" filled="f" stroked="t" coordsize="21600,21600" o:gfxdata="UEsDBAoAAAAAAIdO4kAAAAAAAAAAAAAAAAAEAAAAZHJzL1BLAwQUAAAACACHTuJAhGzfsLsAAADb&#10;AAAADwAAAGRycy9kb3ducmV2LnhtbEVPy4rCMBTdC/MP4Q6407Qi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zfs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220;top:312;height:1;width:72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185;top:312;height:1;width:720;"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w:pict>
          </mc:Fallback>
        </mc:AlternateContent>
      </w:r>
    </w:p>
    <w:p w14:paraId="57029E8C">
      <w:pPr>
        <w:pStyle w:val="39"/>
        <w:ind w:firstLine="480"/>
        <w:rPr>
          <w:color w:val="000000" w:themeColor="text1"/>
          <w14:textFill>
            <w14:solidFill>
              <w14:schemeClr w14:val="tx1"/>
            </w14:solidFill>
          </w14:textFill>
        </w:rPr>
      </w:pPr>
    </w:p>
    <w:p w14:paraId="1780E2BF">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柴油卸油及加油工艺流程示意图</w:t>
      </w:r>
    </w:p>
    <w:p w14:paraId="58B79573">
      <w:pPr>
        <w:pStyle w:val="3"/>
        <w:rPr>
          <w:color w:val="000000" w:themeColor="text1"/>
          <w14:textFill>
            <w14:solidFill>
              <w14:schemeClr w14:val="tx1"/>
            </w14:solidFill>
          </w14:textFill>
        </w:rPr>
      </w:pPr>
      <w:bookmarkStart w:id="115" w:name="_Toc25101"/>
      <w:bookmarkStart w:id="116" w:name="_Toc32017"/>
      <w:r>
        <w:rPr>
          <w:color w:val="000000" w:themeColor="text1"/>
          <w14:textFill>
            <w14:solidFill>
              <w14:schemeClr w14:val="tx1"/>
            </w14:solidFill>
          </w14:textFill>
        </w:rPr>
        <w:t>主要设施、设备及建构筑物</w:t>
      </w:r>
      <w:bookmarkEnd w:id="115"/>
      <w:bookmarkEnd w:id="116"/>
    </w:p>
    <w:p w14:paraId="2A80F271">
      <w:pPr>
        <w:pStyle w:val="4"/>
        <w:ind w:firstLine="562"/>
        <w:rPr>
          <w:color w:val="000000" w:themeColor="text1"/>
          <w14:textFill>
            <w14:solidFill>
              <w14:schemeClr w14:val="tx1"/>
            </w14:solidFill>
          </w14:textFill>
        </w:rPr>
      </w:pPr>
      <w:bookmarkStart w:id="117" w:name="_Toc13041"/>
      <w:bookmarkStart w:id="118" w:name="_Toc29670"/>
      <w:r>
        <w:rPr>
          <w:color w:val="000000" w:themeColor="text1"/>
          <w14:textFill>
            <w14:solidFill>
              <w14:schemeClr w14:val="tx1"/>
            </w14:solidFill>
          </w14:textFill>
        </w:rPr>
        <w:t>建、构筑物</w:t>
      </w:r>
      <w:bookmarkEnd w:id="117"/>
      <w:bookmarkEnd w:id="118"/>
    </w:p>
    <w:p w14:paraId="0D61BF19">
      <w:pPr>
        <w:adjustRightInd w:val="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主要建（构）筑物包括站房、罩棚、辅房等，具体情况见表2-4。</w:t>
      </w:r>
    </w:p>
    <w:p w14:paraId="06C43D34">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表2-4主要建（构）筑物情况表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1960"/>
        <w:gridCol w:w="1494"/>
        <w:gridCol w:w="1814"/>
        <w:gridCol w:w="1641"/>
        <w:gridCol w:w="1556"/>
      </w:tblGrid>
      <w:tr w14:paraId="37435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94" w:type="pct"/>
            <w:vAlign w:val="center"/>
          </w:tcPr>
          <w:p w14:paraId="7C18B90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043" w:type="pct"/>
            <w:vAlign w:val="center"/>
          </w:tcPr>
          <w:p w14:paraId="7704C04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795" w:type="pct"/>
            <w:vAlign w:val="center"/>
          </w:tcPr>
          <w:p w14:paraId="4F0E0596">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层数</w:t>
            </w:r>
          </w:p>
        </w:tc>
        <w:tc>
          <w:tcPr>
            <w:tcW w:w="965" w:type="pct"/>
            <w:vAlign w:val="center"/>
          </w:tcPr>
          <w:p w14:paraId="77477F5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结构形式</w:t>
            </w:r>
          </w:p>
        </w:tc>
        <w:tc>
          <w:tcPr>
            <w:tcW w:w="873" w:type="pct"/>
            <w:vAlign w:val="center"/>
          </w:tcPr>
          <w:p w14:paraId="7F8C8AC6">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耐火等级</w:t>
            </w:r>
          </w:p>
        </w:tc>
        <w:tc>
          <w:tcPr>
            <w:tcW w:w="828" w:type="pct"/>
            <w:vAlign w:val="center"/>
          </w:tcPr>
          <w:p w14:paraId="4079B5D8">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1DF3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94" w:type="pct"/>
            <w:vAlign w:val="center"/>
          </w:tcPr>
          <w:p w14:paraId="4F5931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043" w:type="pct"/>
            <w:vAlign w:val="center"/>
          </w:tcPr>
          <w:p w14:paraId="0264DA8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w:t>
            </w:r>
          </w:p>
        </w:tc>
        <w:tc>
          <w:tcPr>
            <w:tcW w:w="795" w:type="pct"/>
            <w:vAlign w:val="center"/>
          </w:tcPr>
          <w:p w14:paraId="1BD1337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965" w:type="pct"/>
            <w:vAlign w:val="center"/>
          </w:tcPr>
          <w:p w14:paraId="2FD74E8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钢架结构</w:t>
            </w:r>
          </w:p>
        </w:tc>
        <w:tc>
          <w:tcPr>
            <w:tcW w:w="873" w:type="pct"/>
            <w:vAlign w:val="center"/>
          </w:tcPr>
          <w:p w14:paraId="35618B3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828" w:type="pct"/>
            <w:vAlign w:val="center"/>
          </w:tcPr>
          <w:p w14:paraId="0E1B85DA">
            <w:pPr>
              <w:pStyle w:val="77"/>
              <w:rPr>
                <w:color w:val="000000" w:themeColor="text1"/>
                <w14:textFill>
                  <w14:solidFill>
                    <w14:schemeClr w14:val="tx1"/>
                  </w14:solidFill>
                </w14:textFill>
              </w:rPr>
            </w:pPr>
          </w:p>
        </w:tc>
      </w:tr>
      <w:tr w14:paraId="7E723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94" w:type="pct"/>
            <w:vAlign w:val="center"/>
          </w:tcPr>
          <w:p w14:paraId="2E9D64A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043" w:type="pct"/>
            <w:vAlign w:val="center"/>
          </w:tcPr>
          <w:p w14:paraId="753DD52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p>
        </w:tc>
        <w:tc>
          <w:tcPr>
            <w:tcW w:w="795" w:type="pct"/>
            <w:vAlign w:val="center"/>
          </w:tcPr>
          <w:p w14:paraId="5630007B">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一</w:t>
            </w:r>
            <w:r>
              <w:rPr>
                <w:rFonts w:hint="eastAsia"/>
                <w:color w:val="000000" w:themeColor="text1"/>
                <w14:textFill>
                  <w14:solidFill>
                    <w14:schemeClr w14:val="tx1"/>
                  </w14:solidFill>
                </w14:textFill>
              </w:rPr>
              <w:t>层</w:t>
            </w:r>
          </w:p>
        </w:tc>
        <w:tc>
          <w:tcPr>
            <w:tcW w:w="965" w:type="pct"/>
            <w:vAlign w:val="center"/>
          </w:tcPr>
          <w:p w14:paraId="1C64953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砖混结构</w:t>
            </w:r>
          </w:p>
        </w:tc>
        <w:tc>
          <w:tcPr>
            <w:tcW w:w="873" w:type="pct"/>
            <w:vAlign w:val="center"/>
          </w:tcPr>
          <w:p w14:paraId="7206726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828" w:type="pct"/>
            <w:vAlign w:val="center"/>
          </w:tcPr>
          <w:p w14:paraId="46518CAE">
            <w:pPr>
              <w:pStyle w:val="77"/>
              <w:rPr>
                <w:color w:val="000000" w:themeColor="text1"/>
                <w14:textFill>
                  <w14:solidFill>
                    <w14:schemeClr w14:val="tx1"/>
                  </w14:solidFill>
                </w14:textFill>
              </w:rPr>
            </w:pPr>
          </w:p>
        </w:tc>
      </w:tr>
      <w:tr w14:paraId="162E4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94" w:type="pct"/>
            <w:vAlign w:val="center"/>
          </w:tcPr>
          <w:p w14:paraId="670B409D">
            <w:pPr>
              <w:pStyle w:val="77"/>
              <w:rPr>
                <w:rFonts w:hint="eastAsia" w:eastAsia="宋体"/>
                <w:color w:val="000000" w:themeColor="text1"/>
                <w:lang w:val="en-US" w:eastAsia="zh-CN"/>
                <w14:textFill>
                  <w14:solidFill>
                    <w14:schemeClr w14:val="tx1"/>
                  </w14:solidFill>
                </w14:textFill>
              </w:rPr>
            </w:pPr>
            <w:bookmarkStart w:id="119" w:name="_Toc7120"/>
            <w:r>
              <w:rPr>
                <w:rFonts w:hint="eastAsia"/>
                <w:color w:val="000000" w:themeColor="text1"/>
                <w:lang w:val="en-US" w:eastAsia="zh-CN"/>
                <w14:textFill>
                  <w14:solidFill>
                    <w14:schemeClr w14:val="tx1"/>
                  </w14:solidFill>
                </w14:textFill>
              </w:rPr>
              <w:t>3</w:t>
            </w:r>
          </w:p>
        </w:tc>
        <w:tc>
          <w:tcPr>
            <w:tcW w:w="1043" w:type="pct"/>
            <w:vAlign w:val="center"/>
          </w:tcPr>
          <w:p w14:paraId="7535B096">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辅房</w:t>
            </w:r>
          </w:p>
        </w:tc>
        <w:tc>
          <w:tcPr>
            <w:tcW w:w="795" w:type="pct"/>
            <w:vAlign w:val="center"/>
          </w:tcPr>
          <w:p w14:paraId="7BE25E8C">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965" w:type="pct"/>
            <w:vAlign w:val="center"/>
          </w:tcPr>
          <w:p w14:paraId="3D6A7CCB">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砖混结构</w:t>
            </w:r>
          </w:p>
        </w:tc>
        <w:tc>
          <w:tcPr>
            <w:tcW w:w="873" w:type="pct"/>
            <w:vAlign w:val="center"/>
          </w:tcPr>
          <w:p w14:paraId="691769B3">
            <w:pPr>
              <w:pStyle w:val="77"/>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二</w:t>
            </w:r>
          </w:p>
        </w:tc>
        <w:tc>
          <w:tcPr>
            <w:tcW w:w="828" w:type="pct"/>
            <w:vAlign w:val="center"/>
          </w:tcPr>
          <w:p w14:paraId="49E3798E">
            <w:pPr>
              <w:pStyle w:val="77"/>
              <w:rPr>
                <w:color w:val="000000" w:themeColor="text1"/>
                <w14:textFill>
                  <w14:solidFill>
                    <w14:schemeClr w14:val="tx1"/>
                  </w14:solidFill>
                </w14:textFill>
              </w:rPr>
            </w:pPr>
          </w:p>
        </w:tc>
      </w:tr>
      <w:tr w14:paraId="0529C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94" w:type="pct"/>
            <w:vAlign w:val="center"/>
          </w:tcPr>
          <w:p w14:paraId="6000559F">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043" w:type="pct"/>
            <w:vAlign w:val="center"/>
          </w:tcPr>
          <w:p w14:paraId="6198E4BC">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站内卫生间</w:t>
            </w:r>
          </w:p>
        </w:tc>
        <w:tc>
          <w:tcPr>
            <w:tcW w:w="795" w:type="pct"/>
            <w:shd w:val="clear" w:color="auto" w:fill="auto"/>
            <w:vAlign w:val="center"/>
          </w:tcPr>
          <w:p w14:paraId="52917ADA">
            <w:pPr>
              <w:pStyle w:val="77"/>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一层</w:t>
            </w:r>
          </w:p>
        </w:tc>
        <w:tc>
          <w:tcPr>
            <w:tcW w:w="965" w:type="pct"/>
            <w:shd w:val="clear" w:color="auto" w:fill="auto"/>
            <w:vAlign w:val="center"/>
          </w:tcPr>
          <w:p w14:paraId="58B6380E">
            <w:pPr>
              <w:pStyle w:val="77"/>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砖混结构</w:t>
            </w:r>
          </w:p>
        </w:tc>
        <w:tc>
          <w:tcPr>
            <w:tcW w:w="873" w:type="pct"/>
            <w:vAlign w:val="center"/>
          </w:tcPr>
          <w:p w14:paraId="7D7DD58D">
            <w:pPr>
              <w:pStyle w:val="77"/>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二</w:t>
            </w:r>
          </w:p>
        </w:tc>
        <w:tc>
          <w:tcPr>
            <w:tcW w:w="828" w:type="pct"/>
            <w:vAlign w:val="center"/>
          </w:tcPr>
          <w:p w14:paraId="49767BA6">
            <w:pPr>
              <w:pStyle w:val="77"/>
              <w:rPr>
                <w:color w:val="000000" w:themeColor="text1"/>
                <w14:textFill>
                  <w14:solidFill>
                    <w14:schemeClr w14:val="tx1"/>
                  </w14:solidFill>
                </w14:textFill>
              </w:rPr>
            </w:pPr>
          </w:p>
        </w:tc>
      </w:tr>
    </w:tbl>
    <w:p w14:paraId="5074C380">
      <w:pPr>
        <w:pStyle w:val="4"/>
        <w:ind w:firstLine="562"/>
        <w:rPr>
          <w:color w:val="000000" w:themeColor="text1"/>
          <w14:textFill>
            <w14:solidFill>
              <w14:schemeClr w14:val="tx1"/>
            </w14:solidFill>
          </w14:textFill>
        </w:rPr>
      </w:pPr>
      <w:bookmarkStart w:id="120" w:name="_Toc26375"/>
      <w:r>
        <w:rPr>
          <w:color w:val="000000" w:themeColor="text1"/>
          <w14:textFill>
            <w14:solidFill>
              <w14:schemeClr w14:val="tx1"/>
            </w14:solidFill>
          </w14:textFill>
        </w:rPr>
        <w:t>主要设备</w:t>
      </w:r>
      <w:bookmarkEnd w:id="119"/>
      <w:bookmarkEnd w:id="120"/>
    </w:p>
    <w:p w14:paraId="448B99DF">
      <w:pPr>
        <w:autoSpaceDE w:val="0"/>
        <w:autoSpaceDN w:val="0"/>
        <w:adjustRightInd w:val="0"/>
        <w:snapToGrid/>
        <w:spacing w:line="560" w:lineRule="exact"/>
        <w:rPr>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涉及的主要设备详见表</w:t>
      </w:r>
      <w:r>
        <w:rPr>
          <w:rFonts w:hint="eastAsia"/>
          <w:color w:val="000000" w:themeColor="text1"/>
          <w:szCs w:val="28"/>
          <w:lang w:val="zh-CN"/>
          <w14:textFill>
            <w14:solidFill>
              <w14:schemeClr w14:val="tx1"/>
            </w14:solidFill>
          </w14:textFill>
        </w:rPr>
        <w:t>2-</w:t>
      </w:r>
      <w:r>
        <w:rPr>
          <w:rFonts w:hint="eastAsia"/>
          <w:color w:val="000000" w:themeColor="text1"/>
          <w:szCs w:val="28"/>
          <w14:textFill>
            <w14:solidFill>
              <w14:schemeClr w14:val="tx1"/>
            </w14:solidFill>
          </w14:textFill>
        </w:rPr>
        <w:t>5</w:t>
      </w:r>
      <w:r>
        <w:rPr>
          <w:color w:val="000000" w:themeColor="text1"/>
          <w:szCs w:val="28"/>
          <w:lang w:val="zh-CN"/>
          <w14:textFill>
            <w14:solidFill>
              <w14:schemeClr w14:val="tx1"/>
            </w14:solidFill>
          </w14:textFill>
        </w:rPr>
        <w:t>。</w:t>
      </w:r>
    </w:p>
    <w:p w14:paraId="6524EF86">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表2-5 加油站主要设备一览表</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2253"/>
        <w:gridCol w:w="1148"/>
        <w:gridCol w:w="714"/>
        <w:gridCol w:w="3031"/>
        <w:gridCol w:w="1556"/>
      </w:tblGrid>
      <w:tr w14:paraId="3BAB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0CBB8EB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199" w:type="pct"/>
            <w:vAlign w:val="center"/>
          </w:tcPr>
          <w:p w14:paraId="074D0E0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设备名称</w:t>
            </w:r>
          </w:p>
        </w:tc>
        <w:tc>
          <w:tcPr>
            <w:tcW w:w="611" w:type="pct"/>
            <w:vAlign w:val="center"/>
          </w:tcPr>
          <w:p w14:paraId="0E115075">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型号规格</w:t>
            </w:r>
          </w:p>
        </w:tc>
        <w:tc>
          <w:tcPr>
            <w:tcW w:w="380" w:type="pct"/>
            <w:vAlign w:val="center"/>
          </w:tcPr>
          <w:p w14:paraId="6CDC95C7">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1613" w:type="pct"/>
            <w:vAlign w:val="center"/>
          </w:tcPr>
          <w:p w14:paraId="3FD890C8">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828" w:type="pct"/>
            <w:vAlign w:val="center"/>
          </w:tcPr>
          <w:p w14:paraId="225AA7E7">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56595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3D00DE7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99" w:type="pct"/>
            <w:vAlign w:val="center"/>
          </w:tcPr>
          <w:p w14:paraId="55F34DD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w:t>
            </w:r>
          </w:p>
        </w:tc>
        <w:tc>
          <w:tcPr>
            <w:tcW w:w="611" w:type="pct"/>
            <w:vAlign w:val="center"/>
          </w:tcPr>
          <w:p w14:paraId="3AC93FE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双枪</w:t>
            </w:r>
          </w:p>
        </w:tc>
        <w:tc>
          <w:tcPr>
            <w:tcW w:w="380" w:type="pct"/>
            <w:vAlign w:val="center"/>
          </w:tcPr>
          <w:p w14:paraId="6845197B">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台</w:t>
            </w:r>
          </w:p>
        </w:tc>
        <w:tc>
          <w:tcPr>
            <w:tcW w:w="1613" w:type="pct"/>
            <w:vAlign w:val="center"/>
          </w:tcPr>
          <w:p w14:paraId="67C95716">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c>
          <w:tcPr>
            <w:tcW w:w="828" w:type="pct"/>
            <w:vAlign w:val="center"/>
          </w:tcPr>
          <w:p w14:paraId="7B3DD01C">
            <w:pPr>
              <w:pStyle w:val="77"/>
              <w:rPr>
                <w:rFonts w:hint="default" w:eastAsia="宋体"/>
                <w:color w:val="000000" w:themeColor="text1"/>
                <w:lang w:val="en-US" w:eastAsia="zh-CN"/>
                <w14:textFill>
                  <w14:solidFill>
                    <w14:schemeClr w14:val="tx1"/>
                  </w14:solidFill>
                </w14:textFill>
              </w:rPr>
            </w:pPr>
          </w:p>
        </w:tc>
      </w:tr>
      <w:tr w14:paraId="74409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5B7FB4AB">
            <w:pPr>
              <w:pStyle w:val="77"/>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199" w:type="pct"/>
            <w:vAlign w:val="center"/>
          </w:tcPr>
          <w:p w14:paraId="724EFA9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0#柴油储罐</w:t>
            </w:r>
          </w:p>
        </w:tc>
        <w:tc>
          <w:tcPr>
            <w:tcW w:w="611" w:type="pct"/>
            <w:vAlign w:val="center"/>
          </w:tcPr>
          <w:p w14:paraId="705EB049">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0m³</w:t>
            </w:r>
          </w:p>
        </w:tc>
        <w:tc>
          <w:tcPr>
            <w:tcW w:w="380" w:type="pct"/>
            <w:vAlign w:val="center"/>
          </w:tcPr>
          <w:p w14:paraId="00F2E693">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个</w:t>
            </w:r>
          </w:p>
        </w:tc>
        <w:tc>
          <w:tcPr>
            <w:tcW w:w="1613" w:type="pct"/>
            <w:vAlign w:val="center"/>
          </w:tcPr>
          <w:p w14:paraId="1C521EB8">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14:paraId="392CFDCA">
            <w:pPr>
              <w:pStyle w:val="77"/>
              <w:rPr>
                <w:color w:val="000000" w:themeColor="text1"/>
                <w14:textFill>
                  <w14:solidFill>
                    <w14:schemeClr w14:val="tx1"/>
                  </w14:solidFill>
                </w14:textFill>
              </w:rPr>
            </w:pPr>
          </w:p>
        </w:tc>
      </w:tr>
      <w:tr w14:paraId="5B16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14:paraId="3FD85442">
            <w:pPr>
              <w:pStyle w:val="77"/>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199" w:type="pct"/>
            <w:vAlign w:val="center"/>
          </w:tcPr>
          <w:p w14:paraId="45F4D1C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92#汽油储罐</w:t>
            </w:r>
          </w:p>
        </w:tc>
        <w:tc>
          <w:tcPr>
            <w:tcW w:w="611" w:type="pct"/>
            <w:vAlign w:val="center"/>
          </w:tcPr>
          <w:p w14:paraId="052D4B73">
            <w:pPr>
              <w:pStyle w:val="77"/>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0m³</w:t>
            </w:r>
          </w:p>
        </w:tc>
        <w:tc>
          <w:tcPr>
            <w:tcW w:w="380" w:type="pct"/>
            <w:vAlign w:val="center"/>
          </w:tcPr>
          <w:p w14:paraId="449D42D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1613" w:type="pct"/>
            <w:vAlign w:val="center"/>
          </w:tcPr>
          <w:p w14:paraId="6FE06B93">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14:paraId="486C606E">
            <w:pPr>
              <w:pStyle w:val="77"/>
              <w:rPr>
                <w:color w:val="000000" w:themeColor="text1"/>
                <w14:textFill>
                  <w14:solidFill>
                    <w14:schemeClr w14:val="tx1"/>
                  </w14:solidFill>
                </w14:textFill>
              </w:rPr>
            </w:pPr>
          </w:p>
        </w:tc>
      </w:tr>
      <w:tr w14:paraId="53B1B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20CD95DB">
            <w:pPr>
              <w:pStyle w:val="77"/>
              <w:ind w:firstLine="0" w:firstLineChars="0"/>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4</w:t>
            </w:r>
          </w:p>
        </w:tc>
        <w:tc>
          <w:tcPr>
            <w:tcW w:w="1199" w:type="pct"/>
            <w:vAlign w:val="center"/>
          </w:tcPr>
          <w:p w14:paraId="4A2FB8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#汽油储罐</w:t>
            </w:r>
          </w:p>
        </w:tc>
        <w:tc>
          <w:tcPr>
            <w:tcW w:w="611" w:type="pct"/>
            <w:vAlign w:val="center"/>
          </w:tcPr>
          <w:p w14:paraId="39416BEE">
            <w:pPr>
              <w:pStyle w:val="77"/>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0m³</w:t>
            </w:r>
          </w:p>
        </w:tc>
        <w:tc>
          <w:tcPr>
            <w:tcW w:w="380" w:type="pct"/>
            <w:vAlign w:val="center"/>
          </w:tcPr>
          <w:p w14:paraId="77D37C3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1613" w:type="pct"/>
            <w:vAlign w:val="center"/>
          </w:tcPr>
          <w:p w14:paraId="22A482C1">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14:paraId="4B692E4E">
            <w:pPr>
              <w:pStyle w:val="77"/>
              <w:rPr>
                <w:color w:val="000000" w:themeColor="text1"/>
                <w14:textFill>
                  <w14:solidFill>
                    <w14:schemeClr w14:val="tx1"/>
                  </w14:solidFill>
                </w14:textFill>
              </w:rPr>
            </w:pPr>
          </w:p>
        </w:tc>
      </w:tr>
      <w:tr w14:paraId="3E224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7A48CDE8">
            <w:pPr>
              <w:pStyle w:val="77"/>
              <w:ind w:firstLine="0" w:firstLineChars="0"/>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5</w:t>
            </w:r>
          </w:p>
        </w:tc>
        <w:tc>
          <w:tcPr>
            <w:tcW w:w="1199" w:type="pct"/>
            <w:vAlign w:val="center"/>
          </w:tcPr>
          <w:p w14:paraId="7FAA80F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配电柜</w:t>
            </w:r>
          </w:p>
        </w:tc>
        <w:tc>
          <w:tcPr>
            <w:tcW w:w="611" w:type="pct"/>
            <w:vAlign w:val="center"/>
          </w:tcPr>
          <w:p w14:paraId="09E0965E">
            <w:pPr>
              <w:pStyle w:val="77"/>
              <w:rPr>
                <w:color w:val="000000" w:themeColor="text1"/>
                <w14:textFill>
                  <w14:solidFill>
                    <w14:schemeClr w14:val="tx1"/>
                  </w14:solidFill>
                </w14:textFill>
              </w:rPr>
            </w:pPr>
          </w:p>
        </w:tc>
        <w:tc>
          <w:tcPr>
            <w:tcW w:w="380" w:type="pct"/>
            <w:vAlign w:val="center"/>
          </w:tcPr>
          <w:p w14:paraId="310312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1613" w:type="pct"/>
            <w:vAlign w:val="center"/>
          </w:tcPr>
          <w:p w14:paraId="5B16E7A3">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配电室</w:t>
            </w:r>
          </w:p>
        </w:tc>
        <w:tc>
          <w:tcPr>
            <w:tcW w:w="828" w:type="pct"/>
            <w:vAlign w:val="center"/>
          </w:tcPr>
          <w:p w14:paraId="622F63D9">
            <w:pPr>
              <w:pStyle w:val="77"/>
              <w:rPr>
                <w:color w:val="000000" w:themeColor="text1"/>
                <w14:textFill>
                  <w14:solidFill>
                    <w14:schemeClr w14:val="tx1"/>
                  </w14:solidFill>
                </w14:textFill>
              </w:rPr>
            </w:pPr>
          </w:p>
        </w:tc>
      </w:tr>
      <w:tr w14:paraId="0232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351C3513">
            <w:pPr>
              <w:pStyle w:val="77"/>
              <w:ind w:firstLine="0" w:firstLineChars="0"/>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6</w:t>
            </w:r>
          </w:p>
        </w:tc>
        <w:tc>
          <w:tcPr>
            <w:tcW w:w="1199" w:type="pct"/>
            <w:vAlign w:val="center"/>
          </w:tcPr>
          <w:p w14:paraId="2579ECB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柴油发电机</w:t>
            </w:r>
          </w:p>
        </w:tc>
        <w:tc>
          <w:tcPr>
            <w:tcW w:w="611" w:type="pct"/>
            <w:vAlign w:val="center"/>
          </w:tcPr>
          <w:p w14:paraId="784E79B9">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8.5kW</w:t>
            </w:r>
          </w:p>
        </w:tc>
        <w:tc>
          <w:tcPr>
            <w:tcW w:w="380" w:type="pct"/>
            <w:vAlign w:val="center"/>
          </w:tcPr>
          <w:p w14:paraId="6C08C2B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1613" w:type="pct"/>
            <w:vAlign w:val="center"/>
          </w:tcPr>
          <w:p w14:paraId="7772CEE2">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发电机房</w:t>
            </w:r>
          </w:p>
        </w:tc>
        <w:tc>
          <w:tcPr>
            <w:tcW w:w="828" w:type="pct"/>
            <w:vAlign w:val="center"/>
          </w:tcPr>
          <w:p w14:paraId="72BF8350">
            <w:pPr>
              <w:pStyle w:val="77"/>
              <w:rPr>
                <w:color w:val="000000" w:themeColor="text1"/>
                <w14:textFill>
                  <w14:solidFill>
                    <w14:schemeClr w14:val="tx1"/>
                  </w14:solidFill>
                </w14:textFill>
              </w:rPr>
            </w:pPr>
          </w:p>
        </w:tc>
      </w:tr>
      <w:tr w14:paraId="3422E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2100C1DB">
            <w:pPr>
              <w:pStyle w:val="77"/>
              <w:ind w:firstLine="0" w:firstLineChars="0"/>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7</w:t>
            </w:r>
          </w:p>
        </w:tc>
        <w:tc>
          <w:tcPr>
            <w:tcW w:w="1199" w:type="pct"/>
            <w:vAlign w:val="center"/>
          </w:tcPr>
          <w:p w14:paraId="414E624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监控系统</w:t>
            </w:r>
          </w:p>
        </w:tc>
        <w:tc>
          <w:tcPr>
            <w:tcW w:w="611" w:type="pct"/>
            <w:vAlign w:val="center"/>
          </w:tcPr>
          <w:p w14:paraId="76589EE5">
            <w:pPr>
              <w:pStyle w:val="77"/>
              <w:rPr>
                <w:color w:val="000000" w:themeColor="text1"/>
                <w14:textFill>
                  <w14:solidFill>
                    <w14:schemeClr w14:val="tx1"/>
                  </w14:solidFill>
                </w14:textFill>
              </w:rPr>
            </w:pPr>
          </w:p>
        </w:tc>
        <w:tc>
          <w:tcPr>
            <w:tcW w:w="380" w:type="pct"/>
            <w:vAlign w:val="center"/>
          </w:tcPr>
          <w:p w14:paraId="1A26FA3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14:paraId="6A322A99">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14:paraId="0D42A92C">
            <w:pPr>
              <w:pStyle w:val="77"/>
              <w:rPr>
                <w:color w:val="000000" w:themeColor="text1"/>
                <w14:textFill>
                  <w14:solidFill>
                    <w14:schemeClr w14:val="tx1"/>
                  </w14:solidFill>
                </w14:textFill>
              </w:rPr>
            </w:pPr>
          </w:p>
        </w:tc>
      </w:tr>
      <w:tr w14:paraId="3689D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7256F8A4">
            <w:pPr>
              <w:pStyle w:val="77"/>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8</w:t>
            </w:r>
          </w:p>
        </w:tc>
        <w:tc>
          <w:tcPr>
            <w:tcW w:w="1199" w:type="pct"/>
            <w:vAlign w:val="center"/>
          </w:tcPr>
          <w:p w14:paraId="44D1601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液位监控仪</w:t>
            </w:r>
          </w:p>
        </w:tc>
        <w:tc>
          <w:tcPr>
            <w:tcW w:w="611" w:type="pct"/>
            <w:vAlign w:val="center"/>
          </w:tcPr>
          <w:p w14:paraId="7AC63AB2">
            <w:pPr>
              <w:pStyle w:val="77"/>
              <w:rPr>
                <w:color w:val="000000" w:themeColor="text1"/>
                <w14:textFill>
                  <w14:solidFill>
                    <w14:schemeClr w14:val="tx1"/>
                  </w14:solidFill>
                </w14:textFill>
              </w:rPr>
            </w:pPr>
          </w:p>
        </w:tc>
        <w:tc>
          <w:tcPr>
            <w:tcW w:w="380" w:type="pct"/>
            <w:vAlign w:val="center"/>
          </w:tcPr>
          <w:p w14:paraId="5D97C6E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14:paraId="29590677">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14:paraId="078CCCCE">
            <w:pPr>
              <w:pStyle w:val="77"/>
              <w:rPr>
                <w:color w:val="000000" w:themeColor="text1"/>
                <w14:textFill>
                  <w14:solidFill>
                    <w14:schemeClr w14:val="tx1"/>
                  </w14:solidFill>
                </w14:textFill>
              </w:rPr>
            </w:pPr>
          </w:p>
        </w:tc>
      </w:tr>
      <w:tr w14:paraId="6E692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2D282677">
            <w:pPr>
              <w:pStyle w:val="77"/>
              <w:ind w:firstLine="0" w:firstLineChars="0"/>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9</w:t>
            </w:r>
          </w:p>
        </w:tc>
        <w:tc>
          <w:tcPr>
            <w:tcW w:w="1199" w:type="pct"/>
            <w:vAlign w:val="center"/>
          </w:tcPr>
          <w:p w14:paraId="75E9982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防渗漏监测报警装置</w:t>
            </w:r>
          </w:p>
        </w:tc>
        <w:tc>
          <w:tcPr>
            <w:tcW w:w="611" w:type="pct"/>
            <w:vAlign w:val="center"/>
          </w:tcPr>
          <w:p w14:paraId="0E635415">
            <w:pPr>
              <w:pStyle w:val="77"/>
              <w:rPr>
                <w:color w:val="000000" w:themeColor="text1"/>
                <w14:textFill>
                  <w14:solidFill>
                    <w14:schemeClr w14:val="tx1"/>
                  </w14:solidFill>
                </w14:textFill>
              </w:rPr>
            </w:pPr>
          </w:p>
        </w:tc>
        <w:tc>
          <w:tcPr>
            <w:tcW w:w="380" w:type="pct"/>
            <w:vAlign w:val="center"/>
          </w:tcPr>
          <w:p w14:paraId="2686047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14:paraId="685185BF">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14:paraId="00C755C8">
            <w:pPr>
              <w:pStyle w:val="77"/>
              <w:rPr>
                <w:color w:val="000000" w:themeColor="text1"/>
                <w14:textFill>
                  <w14:solidFill>
                    <w14:schemeClr w14:val="tx1"/>
                  </w14:solidFill>
                </w14:textFill>
              </w:rPr>
            </w:pPr>
          </w:p>
        </w:tc>
      </w:tr>
      <w:tr w14:paraId="2C36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091D5860">
            <w:pPr>
              <w:pStyle w:val="77"/>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bookmarkStart w:id="121" w:name="_Toc13637"/>
            <w:bookmarkStart w:id="122" w:name="_Toc275268731"/>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p>
        </w:tc>
        <w:tc>
          <w:tcPr>
            <w:tcW w:w="1199" w:type="pct"/>
            <w:vAlign w:val="center"/>
          </w:tcPr>
          <w:p w14:paraId="0694F409">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可燃/有毒气体检测报警系统</w:t>
            </w:r>
          </w:p>
        </w:tc>
        <w:tc>
          <w:tcPr>
            <w:tcW w:w="611" w:type="pct"/>
            <w:vAlign w:val="center"/>
          </w:tcPr>
          <w:p w14:paraId="38EFC586">
            <w:pPr>
              <w:pStyle w:val="77"/>
              <w:rPr>
                <w:color w:val="000000" w:themeColor="text1"/>
                <w14:textFill>
                  <w14:solidFill>
                    <w14:schemeClr w14:val="tx1"/>
                  </w14:solidFill>
                </w14:textFill>
              </w:rPr>
            </w:pPr>
          </w:p>
        </w:tc>
        <w:tc>
          <w:tcPr>
            <w:tcW w:w="380" w:type="pct"/>
            <w:vAlign w:val="center"/>
          </w:tcPr>
          <w:p w14:paraId="3A16C48B">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1套</w:t>
            </w:r>
          </w:p>
        </w:tc>
        <w:tc>
          <w:tcPr>
            <w:tcW w:w="1613" w:type="pct"/>
            <w:vAlign w:val="center"/>
          </w:tcPr>
          <w:p w14:paraId="5380F47D">
            <w:pPr>
              <w:pStyle w:val="77"/>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站房内</w:t>
            </w:r>
          </w:p>
        </w:tc>
        <w:tc>
          <w:tcPr>
            <w:tcW w:w="828" w:type="pct"/>
            <w:vAlign w:val="center"/>
          </w:tcPr>
          <w:p w14:paraId="3A0E89A6">
            <w:pPr>
              <w:pStyle w:val="77"/>
              <w:rPr>
                <w:color w:val="000000" w:themeColor="text1"/>
                <w14:textFill>
                  <w14:solidFill>
                    <w14:schemeClr w14:val="tx1"/>
                  </w14:solidFill>
                </w14:textFill>
              </w:rPr>
            </w:pPr>
          </w:p>
        </w:tc>
      </w:tr>
      <w:tr w14:paraId="6CD3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shd w:val="clear" w:color="auto" w:fill="auto"/>
            <w:vAlign w:val="center"/>
          </w:tcPr>
          <w:p w14:paraId="15887C09">
            <w:pPr>
              <w:pStyle w:val="77"/>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1199" w:type="pct"/>
            <w:vAlign w:val="center"/>
          </w:tcPr>
          <w:p w14:paraId="4178A68D">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洗车机</w:t>
            </w:r>
          </w:p>
        </w:tc>
        <w:tc>
          <w:tcPr>
            <w:tcW w:w="611" w:type="pct"/>
            <w:vAlign w:val="center"/>
          </w:tcPr>
          <w:p w14:paraId="0F6B71CB">
            <w:pPr>
              <w:pStyle w:val="77"/>
              <w:rPr>
                <w:color w:val="000000" w:themeColor="text1"/>
                <w14:textFill>
                  <w14:solidFill>
                    <w14:schemeClr w14:val="tx1"/>
                  </w14:solidFill>
                </w14:textFill>
              </w:rPr>
            </w:pPr>
          </w:p>
        </w:tc>
        <w:tc>
          <w:tcPr>
            <w:tcW w:w="380" w:type="pct"/>
            <w:vAlign w:val="center"/>
          </w:tcPr>
          <w:p w14:paraId="0100C2B9">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1套</w:t>
            </w:r>
          </w:p>
        </w:tc>
        <w:tc>
          <w:tcPr>
            <w:tcW w:w="1613" w:type="pct"/>
            <w:vAlign w:val="center"/>
          </w:tcPr>
          <w:p w14:paraId="30550CED">
            <w:pPr>
              <w:pStyle w:val="77"/>
              <w:keepNext w:val="0"/>
              <w:keepLines w:val="0"/>
              <w:pageBreakBefore w:val="0"/>
              <w:widowControl w:val="0"/>
              <w:kinsoku/>
              <w:wordWrap/>
              <w:overflowPunct/>
              <w:topLinePunct w:val="0"/>
              <w:autoSpaceDE/>
              <w:autoSpaceDN/>
              <w:bidi w:val="0"/>
              <w:adjustRightInd/>
              <w:snapToGrid w:val="0"/>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加油区南侧</w:t>
            </w:r>
          </w:p>
        </w:tc>
        <w:tc>
          <w:tcPr>
            <w:tcW w:w="828" w:type="pct"/>
            <w:vAlign w:val="center"/>
          </w:tcPr>
          <w:p w14:paraId="026053B2">
            <w:pPr>
              <w:pStyle w:val="77"/>
              <w:rPr>
                <w:color w:val="000000" w:themeColor="text1"/>
                <w14:textFill>
                  <w14:solidFill>
                    <w14:schemeClr w14:val="tx1"/>
                  </w14:solidFill>
                </w14:textFill>
              </w:rPr>
            </w:pPr>
          </w:p>
        </w:tc>
      </w:tr>
      <w:bookmarkEnd w:id="106"/>
      <w:bookmarkEnd w:id="107"/>
      <w:bookmarkEnd w:id="108"/>
      <w:bookmarkEnd w:id="109"/>
      <w:bookmarkEnd w:id="110"/>
      <w:bookmarkEnd w:id="111"/>
      <w:bookmarkEnd w:id="112"/>
      <w:bookmarkEnd w:id="113"/>
      <w:bookmarkEnd w:id="114"/>
    </w:tbl>
    <w:p w14:paraId="27CEF396">
      <w:pPr>
        <w:pStyle w:val="3"/>
        <w:rPr>
          <w:color w:val="auto"/>
        </w:rPr>
      </w:pPr>
      <w:bookmarkStart w:id="123" w:name="_Toc23797"/>
      <w:r>
        <w:rPr>
          <w:color w:val="auto"/>
        </w:rPr>
        <w:t>公用工程及辅助设施</w:t>
      </w:r>
      <w:bookmarkEnd w:id="121"/>
      <w:bookmarkEnd w:id="122"/>
      <w:bookmarkEnd w:id="123"/>
    </w:p>
    <w:p w14:paraId="44CEC0E7">
      <w:pPr>
        <w:pStyle w:val="4"/>
        <w:ind w:firstLine="562"/>
        <w:rPr>
          <w:color w:val="000000" w:themeColor="text1"/>
          <w14:textFill>
            <w14:solidFill>
              <w14:schemeClr w14:val="tx1"/>
            </w14:solidFill>
          </w14:textFill>
        </w:rPr>
      </w:pPr>
      <w:bookmarkStart w:id="124" w:name="_Toc19114"/>
      <w:bookmarkStart w:id="125" w:name="_Toc275268732"/>
      <w:bookmarkStart w:id="126" w:name="_Toc30879"/>
      <w:r>
        <w:rPr>
          <w:color w:val="000000" w:themeColor="text1"/>
          <w14:textFill>
            <w14:solidFill>
              <w14:schemeClr w14:val="tx1"/>
            </w14:solidFill>
          </w14:textFill>
        </w:rPr>
        <w:t>供配电</w:t>
      </w:r>
      <w:bookmarkEnd w:id="124"/>
      <w:bookmarkEnd w:id="125"/>
      <w:bookmarkEnd w:id="126"/>
    </w:p>
    <w:p w14:paraId="7A32AE05">
      <w:pPr>
        <w:rPr>
          <w:color w:val="000000" w:themeColor="text1"/>
          <w14:textFill>
            <w14:solidFill>
              <w14:schemeClr w14:val="tx1"/>
            </w14:solidFill>
          </w14:textFill>
        </w:rPr>
      </w:pPr>
      <w:bookmarkStart w:id="127" w:name="_Toc231983399"/>
      <w:bookmarkStart w:id="128" w:name="_Toc248220532"/>
      <w:bookmarkStart w:id="129" w:name="_Toc275268733"/>
      <w:bookmarkStart w:id="130" w:name="_Toc232084137"/>
      <w:bookmarkStart w:id="131" w:name="_Toc231982090"/>
      <w:bookmarkStart w:id="132" w:name="_Toc236123686"/>
      <w:bookmarkStart w:id="133" w:name="_Toc235587822"/>
      <w:bookmarkStart w:id="134" w:name="_Toc231835954"/>
      <w:bookmarkStart w:id="135" w:name="_Toc233515714"/>
      <w:r>
        <w:rPr>
          <w:rFonts w:hint="eastAsia"/>
          <w:color w:val="000000" w:themeColor="text1"/>
          <w14:textFill>
            <w14:solidFill>
              <w14:schemeClr w14:val="tx1"/>
            </w14:solidFill>
          </w14:textFill>
        </w:rPr>
        <w:t>1.供电</w:t>
      </w:r>
    </w:p>
    <w:p w14:paraId="72A5E0BF">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该加油站供电负荷为三级，由当地0.4kv电网自站区外线路布线直接引入站内配电柜。加油站配电柜设在配电室内，加油站采用放射式配电方式，由配电室配电柜至各用电设备的电缆按要求独立敷设，穿越行车道部分采用穿钢管保护，同时配置柴油发动机与配电柜连锁确保信息系统不间断供电。</w:t>
      </w:r>
    </w:p>
    <w:p w14:paraId="6CCD8EB0">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电气及应急照明配置情况</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处于爆炸危险区域以外的站房、附设施房等建筑物内的照明灯具采用非防爆型，线路穿管，加油罩棚内配置防护等级不低于IP44级的节能防护照明灯具，罩棚、营业室设置应急照明灯。</w:t>
      </w:r>
    </w:p>
    <w:p w14:paraId="2AEB5091">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w:t>
      </w:r>
      <w:r>
        <w:rPr>
          <w:rFonts w:hint="eastAsia"/>
          <w:color w:val="000000" w:themeColor="text1"/>
          <w:lang w:val="en-US" w:eastAsia="zh-CN"/>
          <w14:textFill>
            <w14:solidFill>
              <w14:schemeClr w14:val="tx1"/>
            </w14:solidFill>
          </w14:textFill>
        </w:rPr>
        <w:t>8.5kW</w:t>
      </w:r>
      <w:r>
        <w:rPr>
          <w:rFonts w:hint="eastAsia"/>
          <w:color w:val="000000" w:themeColor="text1"/>
          <w14:textFill>
            <w14:solidFill>
              <w14:schemeClr w14:val="tx1"/>
            </w14:solidFill>
          </w14:textFill>
        </w:rPr>
        <w:t>的柴油发电机组作为停电时的备用电源。</w:t>
      </w:r>
    </w:p>
    <w:p w14:paraId="3E448337">
      <w:pPr>
        <w:pStyle w:val="4"/>
        <w:ind w:firstLine="562"/>
        <w:rPr>
          <w:color w:val="000000" w:themeColor="text1"/>
          <w14:textFill>
            <w14:solidFill>
              <w14:schemeClr w14:val="tx1"/>
            </w14:solidFill>
          </w14:textFill>
        </w:rPr>
      </w:pPr>
      <w:bookmarkStart w:id="136" w:name="_Toc7061"/>
      <w:bookmarkStart w:id="137" w:name="_Toc6847"/>
      <w:r>
        <w:rPr>
          <w:color w:val="000000" w:themeColor="text1"/>
          <w14:textFill>
            <w14:solidFill>
              <w14:schemeClr w14:val="tx1"/>
            </w14:solidFill>
          </w14:textFill>
        </w:rPr>
        <w:t>给排水</w:t>
      </w:r>
      <w:bookmarkEnd w:id="127"/>
      <w:bookmarkEnd w:id="128"/>
      <w:bookmarkEnd w:id="129"/>
      <w:bookmarkEnd w:id="130"/>
      <w:bookmarkEnd w:id="131"/>
      <w:bookmarkEnd w:id="132"/>
      <w:bookmarkEnd w:id="133"/>
      <w:bookmarkEnd w:id="134"/>
      <w:bookmarkEnd w:id="135"/>
      <w:bookmarkEnd w:id="136"/>
      <w:bookmarkEnd w:id="137"/>
    </w:p>
    <w:p w14:paraId="0A23B224">
      <w:pPr>
        <w:autoSpaceDE w:val="0"/>
        <w:autoSpaceDN w:val="0"/>
        <w:adjustRightInd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给水</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该加油站用水由当地自来水管网供给，能满足加油站生产生活、消防要求，给水管的埋地部分采用双面热镀锌钢管，螺纹连接其它部分采用PP-R给水塑料管，胶粘或热熔连接。</w:t>
      </w:r>
    </w:p>
    <w:p w14:paraId="5086EB20">
      <w:pPr>
        <w:autoSpaceDE w:val="0"/>
        <w:autoSpaceDN w:val="0"/>
        <w:adjustRightInd w:val="0"/>
        <w:rPr>
          <w:color w:val="000000" w:themeColor="text1"/>
          <w:szCs w:val="28"/>
          <w:lang w:val="zh-CN"/>
          <w14:textFill>
            <w14:solidFill>
              <w14:schemeClr w14:val="tx1"/>
            </w14:solidFill>
          </w14:textFill>
        </w:rPr>
      </w:pPr>
      <w:r>
        <w:rPr>
          <w:rFonts w:hint="eastAsia"/>
          <w:color w:val="000000" w:themeColor="text1"/>
          <w14:textFill>
            <w14:solidFill>
              <w14:schemeClr w14:val="tx1"/>
            </w14:solidFill>
          </w14:textFill>
        </w:rPr>
        <w:t>排水</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该加油站站内有雨水、生活废水和冲地地坪的废水排放，由于站内南侧地坪向外坡度约2</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，废水均散流排出站外公路排水沟</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加油站靠公路一侧绿化带内设置有三级油水分离池，含油污水集中处理后排出站外，加油站场地设置坡向站外，便于排水。</w:t>
      </w:r>
    </w:p>
    <w:p w14:paraId="5A70141A">
      <w:pPr>
        <w:pStyle w:val="3"/>
        <w:rPr>
          <w:color w:val="000000" w:themeColor="text1"/>
          <w14:textFill>
            <w14:solidFill>
              <w14:schemeClr w14:val="tx1"/>
            </w14:solidFill>
          </w14:textFill>
        </w:rPr>
      </w:pPr>
      <w:bookmarkStart w:id="138" w:name="_Toc387163399"/>
      <w:bookmarkStart w:id="139" w:name="_Toc22293"/>
      <w:bookmarkStart w:id="140" w:name="_Toc2000"/>
      <w:r>
        <w:rPr>
          <w:color w:val="000000" w:themeColor="text1"/>
          <w14:textFill>
            <w14:solidFill>
              <w14:schemeClr w14:val="tx1"/>
            </w14:solidFill>
          </w14:textFill>
        </w:rPr>
        <w:t>安全设施</w:t>
      </w:r>
      <w:bookmarkEnd w:id="138"/>
      <w:bookmarkEnd w:id="139"/>
      <w:bookmarkEnd w:id="140"/>
    </w:p>
    <w:p w14:paraId="0DEF56C8">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加油站消防</w:t>
      </w:r>
      <w:r>
        <w:rPr>
          <w:rFonts w:hint="eastAsia"/>
          <w:color w:val="000000" w:themeColor="text1"/>
          <w:lang w:val="zh-CN"/>
          <w14:textFill>
            <w14:solidFill>
              <w14:schemeClr w14:val="tx1"/>
            </w14:solidFill>
          </w14:textFill>
        </w:rPr>
        <w:t>和相关设备均按照《</w:t>
      </w:r>
      <w:r>
        <w:rPr>
          <w:rFonts w:hint="eastAsia"/>
          <w:color w:val="000000" w:themeColor="text1"/>
          <w14:textFill>
            <w14:solidFill>
              <w14:schemeClr w14:val="tx1"/>
            </w14:solidFill>
          </w14:textFill>
        </w:rPr>
        <w:t>汽车加油加气加氢技术标准</w:t>
      </w:r>
      <w:r>
        <w:rPr>
          <w:rFonts w:hint="eastAsia"/>
          <w:color w:val="000000" w:themeColor="text1"/>
          <w:lang w:val="zh-CN"/>
          <w14:textFill>
            <w14:solidFill>
              <w14:schemeClr w14:val="tx1"/>
            </w14:solidFill>
          </w14:textFill>
        </w:rPr>
        <w:t>》（GB50156-</w:t>
      </w:r>
      <w:r>
        <w:rPr>
          <w:rFonts w:hint="eastAsia"/>
          <w:color w:val="000000" w:themeColor="text1"/>
          <w14:textFill>
            <w14:solidFill>
              <w14:schemeClr w14:val="tx1"/>
            </w14:solidFill>
          </w14:textFill>
        </w:rPr>
        <w:t>2021</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来配备和执行</w:t>
      </w:r>
      <w:r>
        <w:rPr>
          <w:color w:val="000000" w:themeColor="text1"/>
          <w:lang w:val="zh-CN"/>
          <w14:textFill>
            <w14:solidFill>
              <w14:schemeClr w14:val="tx1"/>
            </w14:solidFill>
          </w14:textFill>
        </w:rPr>
        <w:t>。</w:t>
      </w:r>
    </w:p>
    <w:p w14:paraId="2C425566">
      <w:pPr>
        <w:pStyle w:val="4"/>
        <w:ind w:firstLine="562"/>
        <w:rPr>
          <w:color w:val="000000" w:themeColor="text1"/>
          <w14:textFill>
            <w14:solidFill>
              <w14:schemeClr w14:val="tx1"/>
            </w14:solidFill>
          </w14:textFill>
        </w:rPr>
      </w:pPr>
      <w:bookmarkStart w:id="141" w:name="_Toc13594"/>
      <w:bookmarkStart w:id="142" w:name="_Toc28128"/>
      <w:r>
        <w:rPr>
          <w:color w:val="000000" w:themeColor="text1"/>
          <w14:textFill>
            <w14:solidFill>
              <w14:schemeClr w14:val="tx1"/>
            </w14:solidFill>
          </w14:textFill>
        </w:rPr>
        <w:t>预防事故设施</w:t>
      </w:r>
      <w:bookmarkEnd w:id="141"/>
      <w:bookmarkEnd w:id="142"/>
    </w:p>
    <w:p w14:paraId="7F4ED818">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1.检测、报警设施</w:t>
      </w:r>
    </w:p>
    <w:p w14:paraId="1185B6F4">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1</w:t>
      </w:r>
      <w:r>
        <w:rPr>
          <w:rFonts w:hint="eastAsia"/>
          <w:color w:val="000000" w:themeColor="text1"/>
          <w:lang w:val="zh-CN"/>
          <w14:textFill>
            <w14:solidFill>
              <w14:schemeClr w14:val="tx1"/>
            </w14:solidFill>
          </w14:textFill>
        </w:rPr>
        <w:t>）加油站储油罐均设置了液位检测报警装置，并集中显示报警。</w:t>
      </w:r>
    </w:p>
    <w:p w14:paraId="7CED1B22">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2</w:t>
      </w:r>
      <w:r>
        <w:rPr>
          <w:rFonts w:hint="eastAsia"/>
          <w:color w:val="000000" w:themeColor="text1"/>
          <w:lang w:val="zh-CN"/>
          <w14:textFill>
            <w14:solidFill>
              <w14:schemeClr w14:val="tx1"/>
            </w14:solidFill>
          </w14:textFill>
        </w:rPr>
        <w:t>）密闭卸油点设有静电夹，</w:t>
      </w:r>
      <w:r>
        <w:rPr>
          <w:rFonts w:hint="eastAsia"/>
          <w:color w:val="000000" w:themeColor="text1"/>
          <w14:textFill>
            <w14:solidFill>
              <w14:schemeClr w14:val="tx1"/>
            </w14:solidFill>
          </w14:textFill>
        </w:rPr>
        <w:t>油罐区入口处设置了</w:t>
      </w:r>
      <w:r>
        <w:rPr>
          <w:rFonts w:hint="eastAsia"/>
          <w:color w:val="000000" w:themeColor="text1"/>
          <w:lang w:val="zh-CN"/>
          <w14:textFill>
            <w14:solidFill>
              <w14:schemeClr w14:val="tx1"/>
            </w14:solidFill>
          </w14:textFill>
        </w:rPr>
        <w:t>静电接地</w:t>
      </w:r>
      <w:r>
        <w:rPr>
          <w:rFonts w:hint="eastAsia"/>
          <w:color w:val="000000" w:themeColor="text1"/>
          <w14:textFill>
            <w14:solidFill>
              <w14:schemeClr w14:val="tx1"/>
            </w14:solidFill>
          </w14:textFill>
        </w:rPr>
        <w:t>导除</w:t>
      </w:r>
      <w:r>
        <w:rPr>
          <w:rFonts w:hint="eastAsia"/>
          <w:color w:val="000000" w:themeColor="text1"/>
          <w:lang w:val="zh-CN"/>
          <w14:textFill>
            <w14:solidFill>
              <w14:schemeClr w14:val="tx1"/>
            </w14:solidFill>
          </w14:textFill>
        </w:rPr>
        <w:t>桩，用于监测卸油过程中静电接地状况。</w:t>
      </w:r>
    </w:p>
    <w:p w14:paraId="1B306BAE">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（3）各区域设置监控设施（存储时间大于3个月）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设置6个监控探头</w:t>
      </w:r>
      <w:r>
        <w:rPr>
          <w:rFonts w:hint="eastAsia"/>
          <w:color w:val="000000" w:themeColor="text1"/>
          <w14:textFill>
            <w14:solidFill>
              <w14:schemeClr w14:val="tx1"/>
            </w14:solidFill>
          </w14:textFill>
        </w:rPr>
        <w:t>，监控范围包括油罐区、卸油区、加油区、站区出入口、</w:t>
      </w:r>
      <w:r>
        <w:rPr>
          <w:rFonts w:hint="eastAsia"/>
          <w:color w:val="000000" w:themeColor="text1"/>
          <w:lang w:val="en-US" w:eastAsia="zh-CN"/>
          <w14:textFill>
            <w14:solidFill>
              <w14:schemeClr w14:val="tx1"/>
            </w14:solidFill>
          </w14:textFill>
        </w:rPr>
        <w:t>营业室</w:t>
      </w:r>
      <w:r>
        <w:rPr>
          <w:rFonts w:hint="eastAsia"/>
          <w:color w:val="000000" w:themeColor="text1"/>
          <w14:textFill>
            <w14:solidFill>
              <w14:schemeClr w14:val="tx1"/>
            </w14:solidFill>
          </w14:textFill>
        </w:rPr>
        <w:t>。</w:t>
      </w:r>
    </w:p>
    <w:p w14:paraId="3E68DDC6">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2.设备安全防护设施</w:t>
      </w:r>
    </w:p>
    <w:p w14:paraId="4E9BA719">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（1）防触电</w:t>
      </w:r>
    </w:p>
    <w:p w14:paraId="1577B9DD">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加油站对配电柜及发电机做了接地处理，并按要求在配电柜及发电机前设置绝缘手套、绝缘鞋、绝缘胶垫等防护设施，确保加油站从业人员的作业安全。</w:t>
      </w:r>
    </w:p>
    <w:p w14:paraId="5F10037F">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w:t>
      </w:r>
    </w:p>
    <w:p w14:paraId="37F0A3C6">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按照《汽车加油加气加氢站技术标准》的要求，油罐进行防雷接地，接地点2处，在加油罩棚设置避雷针；埋地油罐的罐体与非埋地部分的工艺管道、量油孔、阻火器、法兰等金属附件，作电气跨接并接地：在爆炸危险区域内工艺管道上的法兰、胶管两端等连接处，用金属线跨接；油罐车卸油场地设置有汽车油罐车卸油接地桩和静电接地报警仪。</w:t>
      </w:r>
    </w:p>
    <w:p w14:paraId="0E559118">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加油站防雷防静电设施已于202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09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日经</w:t>
      </w:r>
      <w:r>
        <w:rPr>
          <w:rFonts w:hint="eastAsia"/>
          <w:color w:val="000000" w:themeColor="text1"/>
          <w:lang w:eastAsia="zh-CN"/>
          <w14:textFill>
            <w14:solidFill>
              <w14:schemeClr w14:val="tx1"/>
            </w14:solidFill>
          </w14:textFill>
        </w:rPr>
        <w:t>辽宁雷电防护工程有限责任公司</w:t>
      </w:r>
      <w:r>
        <w:rPr>
          <w:rFonts w:hint="eastAsia"/>
          <w:color w:val="000000" w:themeColor="text1"/>
          <w:lang w:val="en-US" w:eastAsia="zh-CN"/>
          <w14:textFill>
            <w14:solidFill>
              <w14:schemeClr w14:val="tx1"/>
            </w14:solidFill>
          </w14:textFill>
        </w:rPr>
        <w:t>出具了</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雷电防护装置</w:t>
      </w:r>
      <w:r>
        <w:rPr>
          <w:rFonts w:hint="eastAsia"/>
          <w:color w:val="000000" w:themeColor="text1"/>
          <w14:textFill>
            <w14:solidFill>
              <w14:schemeClr w14:val="tx1"/>
            </w14:solidFill>
          </w14:textFill>
        </w:rPr>
        <w:t>检测报告</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，检测结论为符合，有效期至</w:t>
      </w:r>
      <w:r>
        <w:rPr>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03</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14</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w:t>
      </w:r>
    </w:p>
    <w:p w14:paraId="1CAFA845">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（3）防腐</w:t>
      </w:r>
    </w:p>
    <w:p w14:paraId="15320650">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加油站油罐人孔等外露钢制部分和金属工艺管道外表面的防腐采用加强级防腐。油罐埋地前进行防腐处理，符合国家现行标准《石油化工设备和管道涂料防腐蚀设计标准》（SH/T3022-2019）的有关规定。</w:t>
      </w:r>
    </w:p>
    <w:p w14:paraId="2D7464D2">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（4）抗漂浮</w:t>
      </w:r>
    </w:p>
    <w:p w14:paraId="19266390">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抗漂浮为用扁钢与抗浮锚栓连接固定。</w:t>
      </w:r>
    </w:p>
    <w:p w14:paraId="79D954E2">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（5）安装了加油油气回收和卸油油气回收系统。</w:t>
      </w:r>
    </w:p>
    <w:p w14:paraId="2298B969">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3.防火防爆设施</w:t>
      </w:r>
    </w:p>
    <w:p w14:paraId="5D970218">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加油机电机为防爆型，处于爆炸危险区域以外的站房、附属设施用房等建筑物内的照明灯具采用非防爆型，罩棚下的灯具选用防护等级不低于IP44级的节能型照明灯具。</w:t>
      </w:r>
    </w:p>
    <w:p w14:paraId="3E7E4815">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办公室</w:t>
      </w:r>
      <w:r>
        <w:rPr>
          <w:rFonts w:hint="eastAsia"/>
          <w:color w:val="000000" w:themeColor="text1"/>
          <w14:textFill>
            <w14:solidFill>
              <w14:schemeClr w14:val="tx1"/>
            </w14:solidFill>
          </w14:textFill>
        </w:rPr>
        <w:t>、加油机操作面板处均设置了紧急停机装置。</w:t>
      </w:r>
    </w:p>
    <w:p w14:paraId="2C1F3292">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4.安全警示标志</w:t>
      </w:r>
    </w:p>
    <w:p w14:paraId="145119C1">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加油站安全警示标志设置情况，见表2-6。</w:t>
      </w:r>
    </w:p>
    <w:p w14:paraId="6E5516AA">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表2-6 安全警示标志情况一览表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5352"/>
        <w:gridCol w:w="2044"/>
        <w:gridCol w:w="880"/>
      </w:tblGrid>
      <w:tr w14:paraId="34711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14:paraId="267F106A">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5352" w:type="dxa"/>
            <w:vAlign w:val="center"/>
          </w:tcPr>
          <w:p w14:paraId="1D9DA03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警示标志名称</w:t>
            </w:r>
          </w:p>
        </w:tc>
        <w:tc>
          <w:tcPr>
            <w:tcW w:w="2044" w:type="dxa"/>
            <w:vAlign w:val="center"/>
          </w:tcPr>
          <w:p w14:paraId="50E40D8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880" w:type="dxa"/>
            <w:vAlign w:val="center"/>
          </w:tcPr>
          <w:p w14:paraId="2B94C82C">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5A8C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14:paraId="4F5FB70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352" w:type="dxa"/>
            <w:vAlign w:val="center"/>
          </w:tcPr>
          <w:p w14:paraId="01521141">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禁打手机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禁止扫码支付</w:t>
            </w:r>
            <w:r>
              <w:rPr>
                <w:rFonts w:hint="eastAsia"/>
                <w:color w:val="000000" w:themeColor="text1"/>
                <w:lang w:eastAsia="zh-CN"/>
                <w14:textFill>
                  <w14:solidFill>
                    <w14:schemeClr w14:val="tx1"/>
                  </w14:solidFill>
                </w14:textFill>
              </w:rPr>
              <w:t>”、“禁止吸烟”、“</w:t>
            </w:r>
            <w:r>
              <w:rPr>
                <w:rFonts w:hint="eastAsia"/>
                <w:color w:val="000000" w:themeColor="text1"/>
                <w:lang w:val="en-US" w:eastAsia="zh-CN"/>
                <w14:textFill>
                  <w14:solidFill>
                    <w14:schemeClr w14:val="tx1"/>
                  </w14:solidFill>
                </w14:textFill>
              </w:rPr>
              <w:t>禁止攀爬</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禁止烟火</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等</w:t>
            </w:r>
          </w:p>
        </w:tc>
        <w:tc>
          <w:tcPr>
            <w:tcW w:w="2044" w:type="dxa"/>
            <w:vAlign w:val="center"/>
          </w:tcPr>
          <w:p w14:paraId="5C7D2ED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罩棚立柱、加油区</w:t>
            </w:r>
          </w:p>
        </w:tc>
        <w:tc>
          <w:tcPr>
            <w:tcW w:w="880" w:type="dxa"/>
            <w:vAlign w:val="center"/>
          </w:tcPr>
          <w:p w14:paraId="298BA74F">
            <w:pPr>
              <w:pStyle w:val="77"/>
              <w:rPr>
                <w:color w:val="000000" w:themeColor="text1"/>
                <w14:textFill>
                  <w14:solidFill>
                    <w14:schemeClr w14:val="tx1"/>
                  </w14:solidFill>
                </w14:textFill>
              </w:rPr>
            </w:pPr>
          </w:p>
        </w:tc>
      </w:tr>
      <w:tr w14:paraId="1C4ED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14:paraId="3CCC911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352" w:type="dxa"/>
            <w:vAlign w:val="center"/>
          </w:tcPr>
          <w:p w14:paraId="342A1C1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“严禁烟火</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禁打手机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非工作人员禁止入内</w:t>
            </w:r>
            <w:r>
              <w:rPr>
                <w:rFonts w:hint="eastAsia"/>
                <w:color w:val="000000" w:themeColor="text1"/>
                <w:lang w:eastAsia="zh-CN"/>
                <w14:textFill>
                  <w14:solidFill>
                    <w14:schemeClr w14:val="tx1"/>
                  </w14:solidFill>
                </w14:textFill>
              </w:rPr>
              <w:t>”</w:t>
            </w:r>
          </w:p>
        </w:tc>
        <w:tc>
          <w:tcPr>
            <w:tcW w:w="2044" w:type="dxa"/>
            <w:vAlign w:val="center"/>
          </w:tcPr>
          <w:p w14:paraId="22A9AE7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80" w:type="dxa"/>
            <w:vAlign w:val="center"/>
          </w:tcPr>
          <w:p w14:paraId="3AB4A94D">
            <w:pPr>
              <w:pStyle w:val="77"/>
              <w:rPr>
                <w:color w:val="000000" w:themeColor="text1"/>
                <w14:textFill>
                  <w14:solidFill>
                    <w14:schemeClr w14:val="tx1"/>
                  </w14:solidFill>
                </w14:textFill>
              </w:rPr>
            </w:pPr>
          </w:p>
        </w:tc>
      </w:tr>
      <w:tr w14:paraId="67FB4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14:paraId="7A9A41A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352" w:type="dxa"/>
            <w:vAlign w:val="center"/>
          </w:tcPr>
          <w:p w14:paraId="7BACB895">
            <w:pPr>
              <w:pStyle w:val="77"/>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有点危险，闲人免进</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当心触电</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等</w:t>
            </w:r>
          </w:p>
        </w:tc>
        <w:tc>
          <w:tcPr>
            <w:tcW w:w="2044" w:type="dxa"/>
            <w:vAlign w:val="center"/>
          </w:tcPr>
          <w:p w14:paraId="546A67D4">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发</w:t>
            </w:r>
            <w:r>
              <w:rPr>
                <w:rFonts w:hint="eastAsia"/>
                <w:color w:val="000000" w:themeColor="text1"/>
                <w14:textFill>
                  <w14:solidFill>
                    <w14:schemeClr w14:val="tx1"/>
                  </w14:solidFill>
                </w14:textFill>
              </w:rPr>
              <w:t>配电室</w:t>
            </w:r>
          </w:p>
        </w:tc>
        <w:tc>
          <w:tcPr>
            <w:tcW w:w="880" w:type="dxa"/>
            <w:vAlign w:val="center"/>
          </w:tcPr>
          <w:p w14:paraId="5D280C6C">
            <w:pPr>
              <w:pStyle w:val="77"/>
              <w:rPr>
                <w:color w:val="000000" w:themeColor="text1"/>
                <w14:textFill>
                  <w14:solidFill>
                    <w14:schemeClr w14:val="tx1"/>
                  </w14:solidFill>
                </w14:textFill>
              </w:rPr>
            </w:pPr>
          </w:p>
        </w:tc>
      </w:tr>
    </w:tbl>
    <w:p w14:paraId="3AA54D8C">
      <w:pPr>
        <w:rPr>
          <w:color w:val="000000" w:themeColor="text1"/>
          <w14:textFill>
            <w14:solidFill>
              <w14:schemeClr w14:val="tx1"/>
            </w14:solidFill>
          </w14:textFill>
        </w:rPr>
      </w:pPr>
      <w:r>
        <w:rPr>
          <w:rFonts w:hint="eastAsia"/>
          <w:color w:val="000000" w:themeColor="text1"/>
          <w14:textFill>
            <w14:solidFill>
              <w14:schemeClr w14:val="tx1"/>
            </w14:solidFill>
          </w14:textFill>
        </w:rPr>
        <w:t>5.作业场所防护设施</w:t>
      </w:r>
    </w:p>
    <w:p w14:paraId="73BDD71C">
      <w:pPr>
        <w:rPr>
          <w:color w:val="000000" w:themeColor="text1"/>
          <w14:textFill>
            <w14:solidFill>
              <w14:schemeClr w14:val="tx1"/>
            </w14:solidFill>
          </w14:textFill>
        </w:rPr>
      </w:pPr>
      <w:r>
        <w:rPr>
          <w:rFonts w:hint="eastAsia"/>
          <w:color w:val="000000" w:themeColor="text1"/>
          <w14:textFill>
            <w14:solidFill>
              <w14:schemeClr w14:val="tx1"/>
            </w14:solidFill>
          </w14:textFill>
        </w:rPr>
        <w:t>（1）卸油采用快速接头。</w:t>
      </w:r>
    </w:p>
    <w:p w14:paraId="2398B176">
      <w:pPr>
        <w:rPr>
          <w:color w:val="000000" w:themeColor="text1"/>
          <w14:textFill>
            <w14:solidFill>
              <w14:schemeClr w14:val="tx1"/>
            </w14:solidFill>
          </w14:textFill>
        </w:rPr>
      </w:pPr>
      <w:r>
        <w:rPr>
          <w:rFonts w:hint="eastAsia"/>
          <w:color w:val="000000" w:themeColor="text1"/>
          <w14:textFill>
            <w14:solidFill>
              <w14:schemeClr w14:val="tx1"/>
            </w14:solidFill>
          </w14:textFill>
        </w:rPr>
        <w:t>（2）卸油点设置静电接地报警仪，油罐区入口处设置消除人体静电桩。</w:t>
      </w:r>
    </w:p>
    <w:p w14:paraId="01AC0F06">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（3）加油岛端部的加油机附近设置了防撞柱（栏），其高度为0.</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m。</w:t>
      </w:r>
    </w:p>
    <w:p w14:paraId="3437380C">
      <w:pPr>
        <w:pStyle w:val="4"/>
        <w:ind w:firstLine="562"/>
        <w:rPr>
          <w:color w:val="000000" w:themeColor="text1"/>
          <w14:textFill>
            <w14:solidFill>
              <w14:schemeClr w14:val="tx1"/>
            </w14:solidFill>
          </w14:textFill>
        </w:rPr>
      </w:pPr>
      <w:bookmarkStart w:id="143" w:name="_Toc24100"/>
      <w:bookmarkStart w:id="144" w:name="_Toc16871"/>
      <w:bookmarkStart w:id="145" w:name="_Toc9306"/>
      <w:bookmarkStart w:id="146" w:name="_Toc12396"/>
      <w:r>
        <w:rPr>
          <w:color w:val="000000" w:themeColor="text1"/>
          <w14:textFill>
            <w14:solidFill>
              <w14:schemeClr w14:val="tx1"/>
            </w14:solidFill>
          </w14:textFill>
        </w:rPr>
        <w:t>控制事故设施</w:t>
      </w:r>
      <w:bookmarkEnd w:id="143"/>
      <w:bookmarkEnd w:id="144"/>
      <w:bookmarkEnd w:id="145"/>
      <w:bookmarkEnd w:id="146"/>
    </w:p>
    <w:p w14:paraId="060D3F37">
      <w:pPr>
        <w:rPr>
          <w:color w:val="000000" w:themeColor="text1"/>
          <w14:textFill>
            <w14:solidFill>
              <w14:schemeClr w14:val="tx1"/>
            </w14:solidFill>
          </w14:textFill>
        </w:rPr>
      </w:pPr>
      <w:r>
        <w:rPr>
          <w:rFonts w:hint="eastAsia"/>
          <w:color w:val="000000" w:themeColor="text1"/>
          <w14:textFill>
            <w14:solidFill>
              <w14:schemeClr w14:val="tx1"/>
            </w14:solidFill>
          </w14:textFill>
        </w:rPr>
        <w:t>1.泄压和止逆设施</w:t>
      </w:r>
    </w:p>
    <w:p w14:paraId="4A980F37">
      <w:pPr>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每个油罐单独设置通气管。通气管设置阻火器，汽油通气管还设置了机械呼吸阀。</w:t>
      </w:r>
    </w:p>
    <w:p w14:paraId="5F2D55E9">
      <w:pPr>
        <w:rPr>
          <w:color w:val="000000" w:themeColor="text1"/>
          <w14:textFill>
            <w14:solidFill>
              <w14:schemeClr w14:val="tx1"/>
            </w14:solidFill>
          </w14:textFill>
        </w:rPr>
      </w:pPr>
      <w:r>
        <w:rPr>
          <w:rFonts w:hint="eastAsia"/>
          <w:color w:val="000000" w:themeColor="text1"/>
          <w14:textFill>
            <w14:solidFill>
              <w14:schemeClr w14:val="tx1"/>
            </w14:solidFill>
          </w14:textFill>
        </w:rPr>
        <w:t>2.应急照明</w:t>
      </w:r>
    </w:p>
    <w:p w14:paraId="339C33B3">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该站配备了一台</w:t>
      </w:r>
      <w:r>
        <w:rPr>
          <w:rFonts w:hint="eastAsia"/>
          <w:color w:val="000000" w:themeColor="text1"/>
          <w:lang w:val="en-US" w:eastAsia="zh-CN"/>
          <w14:textFill>
            <w14:solidFill>
              <w14:schemeClr w14:val="tx1"/>
            </w14:solidFill>
          </w14:textFill>
        </w:rPr>
        <w:t>8.5kW</w:t>
      </w:r>
      <w:r>
        <w:rPr>
          <w:rFonts w:hint="eastAsia"/>
          <w:color w:val="000000" w:themeColor="text1"/>
          <w14:textFill>
            <w14:solidFill>
              <w14:schemeClr w14:val="tx1"/>
            </w14:solidFill>
          </w14:textFill>
        </w:rPr>
        <w:t>柴油发电机。配备发电机为了预防油站突然停电时临时使用，防止无电带来的不便和及时的消除了隐患，降低事故发生机率，柴油发电机排烟管口安装阻火器。</w:t>
      </w:r>
    </w:p>
    <w:p w14:paraId="57D35A6F">
      <w:pPr>
        <w:rPr>
          <w:color w:val="000000" w:themeColor="text1"/>
          <w14:textFill>
            <w14:solidFill>
              <w14:schemeClr w14:val="tx1"/>
            </w14:solidFill>
          </w14:textFill>
        </w:rPr>
      </w:pPr>
      <w:r>
        <w:rPr>
          <w:rFonts w:hint="eastAsia"/>
          <w:color w:val="000000" w:themeColor="text1"/>
          <w14:textFill>
            <w14:solidFill>
              <w14:schemeClr w14:val="tx1"/>
            </w14:solidFill>
          </w14:textFill>
        </w:rPr>
        <w:t>3.紧急处理设施</w:t>
      </w:r>
    </w:p>
    <w:p w14:paraId="5A610852">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站区设置防爆型应急照明，配电室设置应急照明灯，发电机房设置应急照明灯</w:t>
      </w:r>
      <w:r>
        <w:rPr>
          <w:rFonts w:hint="eastAsia"/>
          <w:color w:val="000000" w:themeColor="text1"/>
          <w:lang w:eastAsia="zh-CN"/>
          <w14:textFill>
            <w14:solidFill>
              <w14:schemeClr w14:val="tx1"/>
            </w14:solidFill>
          </w14:textFill>
        </w:rPr>
        <w:t>。</w:t>
      </w:r>
    </w:p>
    <w:p w14:paraId="1D773824">
      <w:pPr>
        <w:rPr>
          <w:color w:val="000000" w:themeColor="text1"/>
          <w14:textFill>
            <w14:solidFill>
              <w14:schemeClr w14:val="tx1"/>
            </w14:solidFill>
          </w14:textFill>
        </w:rPr>
      </w:pPr>
      <w:r>
        <w:rPr>
          <w:rFonts w:hint="eastAsia"/>
          <w:color w:val="000000" w:themeColor="text1"/>
          <w14:textFill>
            <w14:solidFill>
              <w14:schemeClr w14:val="tx1"/>
            </w14:solidFill>
          </w14:textFill>
        </w:rPr>
        <w:t>4.应急灯及防爆配备情况</w:t>
      </w:r>
    </w:p>
    <w:p w14:paraId="3DC097E5">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应急灯、防爆灯及监控设备设置情况，见2-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表。</w:t>
      </w:r>
    </w:p>
    <w:p w14:paraId="2EA5A4EB">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表2-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 xml:space="preserve"> 应急灯、防爆灯及监控设备设置一览表</w:t>
      </w:r>
    </w:p>
    <w:tbl>
      <w:tblPr>
        <w:tblStyle w:val="3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072"/>
        <w:gridCol w:w="4591"/>
        <w:gridCol w:w="796"/>
        <w:gridCol w:w="765"/>
        <w:gridCol w:w="1109"/>
      </w:tblGrid>
      <w:tr w14:paraId="21D6E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27" w:type="dxa"/>
            <w:vAlign w:val="center"/>
          </w:tcPr>
          <w:p w14:paraId="5000EC5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072" w:type="dxa"/>
          </w:tcPr>
          <w:p w14:paraId="3E7DB44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4591" w:type="dxa"/>
            <w:vAlign w:val="center"/>
          </w:tcPr>
          <w:p w14:paraId="008C3EC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设置地点</w:t>
            </w:r>
          </w:p>
        </w:tc>
        <w:tc>
          <w:tcPr>
            <w:tcW w:w="796" w:type="dxa"/>
            <w:vAlign w:val="center"/>
          </w:tcPr>
          <w:p w14:paraId="6DBF93CC">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765" w:type="dxa"/>
            <w:vAlign w:val="center"/>
          </w:tcPr>
          <w:p w14:paraId="6707296B">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单位</w:t>
            </w:r>
          </w:p>
        </w:tc>
        <w:tc>
          <w:tcPr>
            <w:tcW w:w="1109" w:type="dxa"/>
            <w:vAlign w:val="center"/>
          </w:tcPr>
          <w:p w14:paraId="28430DCA">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是否有效</w:t>
            </w:r>
          </w:p>
        </w:tc>
      </w:tr>
      <w:tr w14:paraId="02871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27" w:type="dxa"/>
            <w:vAlign w:val="center"/>
          </w:tcPr>
          <w:p w14:paraId="5D96611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072" w:type="dxa"/>
            <w:vAlign w:val="center"/>
          </w:tcPr>
          <w:p w14:paraId="4C589FB8">
            <w:pPr>
              <w:pStyle w:val="77"/>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应急灯</w:t>
            </w:r>
          </w:p>
        </w:tc>
        <w:tc>
          <w:tcPr>
            <w:tcW w:w="4591" w:type="dxa"/>
            <w:vAlign w:val="center"/>
          </w:tcPr>
          <w:p w14:paraId="4EE717E5">
            <w:pPr>
              <w:pStyle w:val="77"/>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加油现场、营业室、配电室、</w:t>
            </w:r>
            <w:r>
              <w:rPr>
                <w:rFonts w:hint="eastAsia"/>
                <w:color w:val="000000" w:themeColor="text1"/>
                <w:highlight w:val="none"/>
                <w:lang w:val="en-US" w:eastAsia="zh-CN"/>
                <w14:textFill>
                  <w14:solidFill>
                    <w14:schemeClr w14:val="tx1"/>
                  </w14:solidFill>
                </w14:textFill>
              </w:rPr>
              <w:t>发电机房</w:t>
            </w:r>
          </w:p>
        </w:tc>
        <w:tc>
          <w:tcPr>
            <w:tcW w:w="796" w:type="dxa"/>
            <w:vAlign w:val="center"/>
          </w:tcPr>
          <w:p w14:paraId="6D70D5A2">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765" w:type="dxa"/>
          </w:tcPr>
          <w:p w14:paraId="597B32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盏</w:t>
            </w:r>
          </w:p>
        </w:tc>
        <w:tc>
          <w:tcPr>
            <w:tcW w:w="1109" w:type="dxa"/>
            <w:vAlign w:val="center"/>
          </w:tcPr>
          <w:p w14:paraId="0DF653C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r w14:paraId="62FDF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27" w:type="dxa"/>
            <w:vAlign w:val="center"/>
          </w:tcPr>
          <w:p w14:paraId="09D7871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072" w:type="dxa"/>
            <w:vAlign w:val="center"/>
          </w:tcPr>
          <w:p w14:paraId="504F80FF">
            <w:pPr>
              <w:pStyle w:val="77"/>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防爆灯</w:t>
            </w:r>
          </w:p>
        </w:tc>
        <w:tc>
          <w:tcPr>
            <w:tcW w:w="4591" w:type="dxa"/>
            <w:vAlign w:val="center"/>
          </w:tcPr>
          <w:p w14:paraId="513CFC9C">
            <w:pPr>
              <w:pStyle w:val="77"/>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罩棚下</w:t>
            </w:r>
          </w:p>
        </w:tc>
        <w:tc>
          <w:tcPr>
            <w:tcW w:w="796" w:type="dxa"/>
            <w:vAlign w:val="center"/>
          </w:tcPr>
          <w:p w14:paraId="6CDF05B5">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765" w:type="dxa"/>
          </w:tcPr>
          <w:p w14:paraId="7D907A6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盏</w:t>
            </w:r>
          </w:p>
        </w:tc>
        <w:tc>
          <w:tcPr>
            <w:tcW w:w="1109" w:type="dxa"/>
            <w:vAlign w:val="center"/>
          </w:tcPr>
          <w:p w14:paraId="158EBE3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r w14:paraId="738E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727" w:type="dxa"/>
            <w:vAlign w:val="center"/>
          </w:tcPr>
          <w:p w14:paraId="50DAB3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072" w:type="dxa"/>
            <w:vAlign w:val="center"/>
          </w:tcPr>
          <w:p w14:paraId="23411BD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监控设施</w:t>
            </w:r>
          </w:p>
        </w:tc>
        <w:tc>
          <w:tcPr>
            <w:tcW w:w="4591" w:type="dxa"/>
            <w:vAlign w:val="center"/>
          </w:tcPr>
          <w:p w14:paraId="7D86571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油罐区、加油区、站房</w:t>
            </w:r>
          </w:p>
        </w:tc>
        <w:tc>
          <w:tcPr>
            <w:tcW w:w="796" w:type="dxa"/>
            <w:vAlign w:val="center"/>
          </w:tcPr>
          <w:p w14:paraId="2852C449">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765" w:type="dxa"/>
          </w:tcPr>
          <w:p w14:paraId="3790399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个</w:t>
            </w:r>
          </w:p>
        </w:tc>
        <w:tc>
          <w:tcPr>
            <w:tcW w:w="1109" w:type="dxa"/>
            <w:vAlign w:val="center"/>
          </w:tcPr>
          <w:p w14:paraId="6A00F17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bl>
    <w:p w14:paraId="7B0F3385">
      <w:pPr>
        <w:pStyle w:val="4"/>
        <w:ind w:firstLine="562"/>
        <w:rPr>
          <w:color w:val="000000" w:themeColor="text1"/>
          <w14:textFill>
            <w14:solidFill>
              <w14:schemeClr w14:val="tx1"/>
            </w14:solidFill>
          </w14:textFill>
        </w:rPr>
      </w:pPr>
      <w:bookmarkStart w:id="147" w:name="_Toc5864"/>
      <w:bookmarkStart w:id="148" w:name="_Toc16940"/>
      <w:bookmarkStart w:id="149" w:name="_Toc27010"/>
      <w:bookmarkStart w:id="150" w:name="_Toc13720"/>
      <w:r>
        <w:rPr>
          <w:color w:val="000000" w:themeColor="text1"/>
          <w14:textFill>
            <w14:solidFill>
              <w14:schemeClr w14:val="tx1"/>
            </w14:solidFill>
          </w14:textFill>
        </w:rPr>
        <w:t>减少与消除影响事故设施</w:t>
      </w:r>
      <w:bookmarkEnd w:id="147"/>
      <w:bookmarkEnd w:id="148"/>
      <w:bookmarkEnd w:id="149"/>
      <w:bookmarkEnd w:id="150"/>
    </w:p>
    <w:p w14:paraId="7DBA8441">
      <w:pPr>
        <w:rPr>
          <w:color w:val="000000" w:themeColor="text1"/>
          <w14:textFill>
            <w14:solidFill>
              <w14:schemeClr w14:val="tx1"/>
            </w14:solidFill>
          </w14:textFill>
        </w:rPr>
      </w:pPr>
      <w:r>
        <w:rPr>
          <w:rFonts w:hint="eastAsia"/>
          <w:color w:val="000000" w:themeColor="text1"/>
          <w14:textFill>
            <w14:solidFill>
              <w14:schemeClr w14:val="tx1"/>
            </w14:solidFill>
          </w14:textFill>
        </w:rPr>
        <w:t>1.防止事故蔓延设施</w:t>
      </w:r>
    </w:p>
    <w:p w14:paraId="5EA750FD">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潜油泵供油，加油机上设置有油泵紧急停泵按钮，加油软管上设有安全拉断阀，加油机底部的供油管道上设有剪切阀，当加油机被撞或起火或加油枪被外力拉拽断裂时，剪切阀能自动关闭进油，防止油料大量泄漏引发火灾爆炸。</w:t>
      </w:r>
    </w:p>
    <w:p w14:paraId="71A818D6">
      <w:pPr>
        <w:rPr>
          <w:color w:val="000000" w:themeColor="text1"/>
          <w14:textFill>
            <w14:solidFill>
              <w14:schemeClr w14:val="tx1"/>
            </w14:solidFill>
          </w14:textFill>
        </w:rPr>
      </w:pPr>
      <w:r>
        <w:rPr>
          <w:rFonts w:hint="eastAsia"/>
          <w:color w:val="000000" w:themeColor="text1"/>
          <w14:textFill>
            <w14:solidFill>
              <w14:schemeClr w14:val="tx1"/>
            </w14:solidFill>
          </w14:textFill>
        </w:rPr>
        <w:t>2.灭火设施</w:t>
      </w:r>
    </w:p>
    <w:p w14:paraId="797F0996">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该加油站灭火设施配置情况，见表2-8。</w:t>
      </w:r>
    </w:p>
    <w:p w14:paraId="10EFA70B">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表2-8加油站灭火设施配置情况一览表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993"/>
        <w:gridCol w:w="1379"/>
        <w:gridCol w:w="1445"/>
        <w:gridCol w:w="2608"/>
        <w:gridCol w:w="824"/>
      </w:tblGrid>
      <w:tr w14:paraId="1F761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6A09DBF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序号</w:t>
            </w:r>
          </w:p>
        </w:tc>
        <w:tc>
          <w:tcPr>
            <w:tcW w:w="1098" w:type="pct"/>
            <w:vAlign w:val="center"/>
          </w:tcPr>
          <w:p w14:paraId="6B07C2CA">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名称</w:t>
            </w:r>
          </w:p>
        </w:tc>
        <w:tc>
          <w:tcPr>
            <w:tcW w:w="760" w:type="pct"/>
            <w:vAlign w:val="center"/>
          </w:tcPr>
          <w:p w14:paraId="5215A3A4">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数量</w:t>
            </w:r>
          </w:p>
        </w:tc>
        <w:tc>
          <w:tcPr>
            <w:tcW w:w="796" w:type="pct"/>
            <w:vAlign w:val="center"/>
          </w:tcPr>
          <w:p w14:paraId="761F5151">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型号</w:t>
            </w:r>
          </w:p>
        </w:tc>
        <w:tc>
          <w:tcPr>
            <w:tcW w:w="1437" w:type="pct"/>
            <w:vAlign w:val="center"/>
          </w:tcPr>
          <w:p w14:paraId="1A09A438">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位置</w:t>
            </w:r>
          </w:p>
        </w:tc>
        <w:tc>
          <w:tcPr>
            <w:tcW w:w="454" w:type="pct"/>
            <w:vAlign w:val="center"/>
          </w:tcPr>
          <w:p w14:paraId="4A98815F">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备注</w:t>
            </w:r>
          </w:p>
        </w:tc>
      </w:tr>
      <w:tr w14:paraId="22C93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77EE71FF">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1</w:t>
            </w:r>
          </w:p>
        </w:tc>
        <w:tc>
          <w:tcPr>
            <w:tcW w:w="1098" w:type="pct"/>
            <w:vAlign w:val="center"/>
          </w:tcPr>
          <w:p w14:paraId="0AFE5593">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rPr>
              <w:t>医药箱</w:t>
            </w:r>
          </w:p>
        </w:tc>
        <w:tc>
          <w:tcPr>
            <w:tcW w:w="760" w:type="pct"/>
            <w:vAlign w:val="center"/>
          </w:tcPr>
          <w:p w14:paraId="2ED7661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rPr>
              <w:t>1</w:t>
            </w:r>
          </w:p>
        </w:tc>
        <w:tc>
          <w:tcPr>
            <w:tcW w:w="796" w:type="pct"/>
            <w:vAlign w:val="center"/>
          </w:tcPr>
          <w:p w14:paraId="158534D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c>
          <w:tcPr>
            <w:tcW w:w="1437" w:type="pct"/>
            <w:vAlign w:val="center"/>
          </w:tcPr>
          <w:p w14:paraId="4AC11088">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rPr>
                <w:rFonts w:hint="default" w:eastAsia="宋体"/>
                <w:lang w:val="en-US" w:eastAsia="zh-CN"/>
              </w:rPr>
            </w:pPr>
            <w:r>
              <w:rPr>
                <w:rFonts w:hint="eastAsia"/>
                <w:lang w:val="en-US" w:eastAsia="zh-CN"/>
              </w:rPr>
              <w:t>应急物资柜</w:t>
            </w:r>
          </w:p>
        </w:tc>
        <w:tc>
          <w:tcPr>
            <w:tcW w:w="454" w:type="pct"/>
            <w:vAlign w:val="center"/>
          </w:tcPr>
          <w:p w14:paraId="1792D94E">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41C30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444BD22A">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2</w:t>
            </w:r>
          </w:p>
        </w:tc>
        <w:tc>
          <w:tcPr>
            <w:tcW w:w="1098" w:type="pct"/>
            <w:vAlign w:val="center"/>
          </w:tcPr>
          <w:p w14:paraId="74CE248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推车式干粉灭火器</w:t>
            </w:r>
          </w:p>
        </w:tc>
        <w:tc>
          <w:tcPr>
            <w:tcW w:w="760" w:type="pct"/>
            <w:vAlign w:val="center"/>
          </w:tcPr>
          <w:p w14:paraId="25B03A9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2</w:t>
            </w:r>
            <w:r>
              <w:t>台</w:t>
            </w:r>
          </w:p>
        </w:tc>
        <w:tc>
          <w:tcPr>
            <w:tcW w:w="796" w:type="pct"/>
            <w:vAlign w:val="center"/>
          </w:tcPr>
          <w:p w14:paraId="2973C1D6">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35kg</w:t>
            </w:r>
          </w:p>
        </w:tc>
        <w:tc>
          <w:tcPr>
            <w:tcW w:w="1437" w:type="pct"/>
            <w:vAlign w:val="center"/>
          </w:tcPr>
          <w:p w14:paraId="084E8071">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加油区、卸油区</w:t>
            </w:r>
          </w:p>
        </w:tc>
        <w:tc>
          <w:tcPr>
            <w:tcW w:w="454" w:type="pct"/>
            <w:vAlign w:val="center"/>
          </w:tcPr>
          <w:p w14:paraId="522E8482">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773F4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25C40501">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3</w:t>
            </w:r>
          </w:p>
        </w:tc>
        <w:tc>
          <w:tcPr>
            <w:tcW w:w="1098" w:type="pct"/>
            <w:vAlign w:val="center"/>
          </w:tcPr>
          <w:p w14:paraId="4FEEEBF3">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手提式干粉灭火器</w:t>
            </w:r>
          </w:p>
        </w:tc>
        <w:tc>
          <w:tcPr>
            <w:tcW w:w="760" w:type="pct"/>
            <w:vAlign w:val="center"/>
          </w:tcPr>
          <w:p w14:paraId="339B4E38">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具</w:t>
            </w:r>
          </w:p>
        </w:tc>
        <w:tc>
          <w:tcPr>
            <w:tcW w:w="796" w:type="pct"/>
            <w:vAlign w:val="center"/>
          </w:tcPr>
          <w:p w14:paraId="5B06D81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5kg</w:t>
            </w:r>
          </w:p>
        </w:tc>
        <w:tc>
          <w:tcPr>
            <w:tcW w:w="1437" w:type="pct"/>
            <w:vAlign w:val="center"/>
          </w:tcPr>
          <w:p w14:paraId="7F3194A7">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加油区</w:t>
            </w:r>
          </w:p>
        </w:tc>
        <w:tc>
          <w:tcPr>
            <w:tcW w:w="454" w:type="pct"/>
            <w:vAlign w:val="center"/>
          </w:tcPr>
          <w:p w14:paraId="03ABF20A">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74BBC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09FE73F4">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4</w:t>
            </w:r>
          </w:p>
        </w:tc>
        <w:tc>
          <w:tcPr>
            <w:tcW w:w="1098" w:type="pct"/>
            <w:vAlign w:val="center"/>
          </w:tcPr>
          <w:p w14:paraId="3E04C87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rPr>
              <w:t>二氧化碳灭火器</w:t>
            </w:r>
          </w:p>
        </w:tc>
        <w:tc>
          <w:tcPr>
            <w:tcW w:w="760" w:type="pct"/>
            <w:vAlign w:val="center"/>
          </w:tcPr>
          <w:p w14:paraId="59090AE3">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具</w:t>
            </w:r>
          </w:p>
        </w:tc>
        <w:tc>
          <w:tcPr>
            <w:tcW w:w="796" w:type="pct"/>
            <w:vAlign w:val="center"/>
          </w:tcPr>
          <w:p w14:paraId="2C6E323F">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3</w:t>
            </w:r>
            <w:r>
              <w:rPr>
                <w:rFonts w:hint="eastAsia"/>
              </w:rPr>
              <w:t>kg</w:t>
            </w:r>
          </w:p>
        </w:tc>
        <w:tc>
          <w:tcPr>
            <w:tcW w:w="1437" w:type="pct"/>
            <w:vAlign w:val="center"/>
          </w:tcPr>
          <w:p w14:paraId="7EEB7408">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rPr>
              <w:t>配电室、发电机房</w:t>
            </w:r>
          </w:p>
        </w:tc>
        <w:tc>
          <w:tcPr>
            <w:tcW w:w="454" w:type="pct"/>
            <w:vAlign w:val="center"/>
          </w:tcPr>
          <w:p w14:paraId="0C9FE4E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641D2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31D7F36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5</w:t>
            </w:r>
          </w:p>
        </w:tc>
        <w:tc>
          <w:tcPr>
            <w:tcW w:w="1098" w:type="pct"/>
            <w:vAlign w:val="center"/>
          </w:tcPr>
          <w:p w14:paraId="604B13C3">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rPr>
              <w:t>手提式干粉灭火器</w:t>
            </w:r>
          </w:p>
        </w:tc>
        <w:tc>
          <w:tcPr>
            <w:tcW w:w="760" w:type="pct"/>
            <w:vAlign w:val="center"/>
          </w:tcPr>
          <w:p w14:paraId="75172399">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具</w:t>
            </w:r>
          </w:p>
        </w:tc>
        <w:tc>
          <w:tcPr>
            <w:tcW w:w="796" w:type="pct"/>
            <w:vAlign w:val="center"/>
          </w:tcPr>
          <w:p w14:paraId="1A608912">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kg</w:t>
            </w:r>
          </w:p>
        </w:tc>
        <w:tc>
          <w:tcPr>
            <w:tcW w:w="1437" w:type="pct"/>
            <w:vAlign w:val="center"/>
          </w:tcPr>
          <w:p w14:paraId="0340715F">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站房、</w:t>
            </w:r>
            <w:r>
              <w:rPr>
                <w:rFonts w:hint="eastAsia"/>
              </w:rPr>
              <w:t>配电室、发电机房</w:t>
            </w:r>
          </w:p>
        </w:tc>
        <w:tc>
          <w:tcPr>
            <w:tcW w:w="454" w:type="pct"/>
            <w:vAlign w:val="center"/>
          </w:tcPr>
          <w:p w14:paraId="72A0021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33E76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62111C53">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6</w:t>
            </w:r>
          </w:p>
        </w:tc>
        <w:tc>
          <w:tcPr>
            <w:tcW w:w="1098" w:type="pct"/>
            <w:vAlign w:val="center"/>
          </w:tcPr>
          <w:p w14:paraId="41DEBF47">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消防沙</w:t>
            </w:r>
          </w:p>
        </w:tc>
        <w:tc>
          <w:tcPr>
            <w:tcW w:w="760" w:type="pct"/>
            <w:vAlign w:val="center"/>
          </w:tcPr>
          <w:p w14:paraId="48D8F5C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1个</w:t>
            </w:r>
          </w:p>
        </w:tc>
        <w:tc>
          <w:tcPr>
            <w:tcW w:w="796" w:type="pct"/>
            <w:vAlign w:val="center"/>
          </w:tcPr>
          <w:p w14:paraId="1ED74BA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2m³</w:t>
            </w:r>
          </w:p>
        </w:tc>
        <w:tc>
          <w:tcPr>
            <w:tcW w:w="1437" w:type="pct"/>
            <w:vAlign w:val="center"/>
          </w:tcPr>
          <w:p w14:paraId="29695A2E">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卸油区</w:t>
            </w:r>
          </w:p>
        </w:tc>
        <w:tc>
          <w:tcPr>
            <w:tcW w:w="454" w:type="pct"/>
            <w:vAlign w:val="center"/>
          </w:tcPr>
          <w:p w14:paraId="6DA364A1">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3F5AB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63F4761E">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7</w:t>
            </w:r>
          </w:p>
        </w:tc>
        <w:tc>
          <w:tcPr>
            <w:tcW w:w="1098" w:type="pct"/>
            <w:vAlign w:val="center"/>
          </w:tcPr>
          <w:p w14:paraId="756BA65C">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消防铲</w:t>
            </w:r>
          </w:p>
        </w:tc>
        <w:tc>
          <w:tcPr>
            <w:tcW w:w="760" w:type="pct"/>
            <w:vAlign w:val="center"/>
          </w:tcPr>
          <w:p w14:paraId="28421BF6">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把</w:t>
            </w:r>
          </w:p>
        </w:tc>
        <w:tc>
          <w:tcPr>
            <w:tcW w:w="796" w:type="pct"/>
            <w:vAlign w:val="center"/>
          </w:tcPr>
          <w:p w14:paraId="2ED71A79">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c>
          <w:tcPr>
            <w:tcW w:w="1437" w:type="pct"/>
            <w:vAlign w:val="center"/>
          </w:tcPr>
          <w:p w14:paraId="1F046B2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卸油区</w:t>
            </w:r>
          </w:p>
        </w:tc>
        <w:tc>
          <w:tcPr>
            <w:tcW w:w="454" w:type="pct"/>
            <w:vAlign w:val="center"/>
          </w:tcPr>
          <w:p w14:paraId="68CCC83A">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0E970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750344A1">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8</w:t>
            </w:r>
          </w:p>
        </w:tc>
        <w:tc>
          <w:tcPr>
            <w:tcW w:w="1098" w:type="pct"/>
            <w:vAlign w:val="center"/>
          </w:tcPr>
          <w:p w14:paraId="2124467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消防桶</w:t>
            </w:r>
          </w:p>
        </w:tc>
        <w:tc>
          <w:tcPr>
            <w:tcW w:w="760" w:type="pct"/>
            <w:vAlign w:val="center"/>
          </w:tcPr>
          <w:p w14:paraId="5452D069">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rPr>
                <w:rFonts w:hint="eastAsia"/>
                <w:lang w:val="en-US" w:eastAsia="zh-CN"/>
              </w:rPr>
              <w:t>4</w:t>
            </w:r>
            <w:r>
              <w:t>个</w:t>
            </w:r>
          </w:p>
        </w:tc>
        <w:tc>
          <w:tcPr>
            <w:tcW w:w="796" w:type="pct"/>
            <w:vAlign w:val="center"/>
          </w:tcPr>
          <w:p w14:paraId="019FDF87">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c>
          <w:tcPr>
            <w:tcW w:w="1437" w:type="pct"/>
            <w:vAlign w:val="center"/>
          </w:tcPr>
          <w:p w14:paraId="64766807">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卸油区</w:t>
            </w:r>
          </w:p>
        </w:tc>
        <w:tc>
          <w:tcPr>
            <w:tcW w:w="454" w:type="pct"/>
            <w:vAlign w:val="center"/>
          </w:tcPr>
          <w:p w14:paraId="421811FD">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r w14:paraId="3CC4D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vAlign w:val="center"/>
          </w:tcPr>
          <w:p w14:paraId="1DB3564F">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9</w:t>
            </w:r>
          </w:p>
        </w:tc>
        <w:tc>
          <w:tcPr>
            <w:tcW w:w="1098" w:type="pct"/>
            <w:vAlign w:val="center"/>
          </w:tcPr>
          <w:p w14:paraId="44E349B6">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灭火毯</w:t>
            </w:r>
          </w:p>
        </w:tc>
        <w:tc>
          <w:tcPr>
            <w:tcW w:w="760" w:type="pct"/>
            <w:vAlign w:val="center"/>
          </w:tcPr>
          <w:p w14:paraId="3403EC5C">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5块</w:t>
            </w:r>
          </w:p>
        </w:tc>
        <w:tc>
          <w:tcPr>
            <w:tcW w:w="796" w:type="pct"/>
            <w:vAlign w:val="center"/>
          </w:tcPr>
          <w:p w14:paraId="35B165DB">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c>
          <w:tcPr>
            <w:tcW w:w="1437" w:type="pct"/>
            <w:vAlign w:val="center"/>
          </w:tcPr>
          <w:p w14:paraId="082E5D7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r>
              <w:t>加油机、卸油区</w:t>
            </w:r>
          </w:p>
        </w:tc>
        <w:tc>
          <w:tcPr>
            <w:tcW w:w="454" w:type="pct"/>
            <w:vAlign w:val="center"/>
          </w:tcPr>
          <w:p w14:paraId="408DA915">
            <w:pPr>
              <w:pStyle w:val="93"/>
              <w:keepNext w:val="0"/>
              <w:keepLines w:val="0"/>
              <w:pageBreakBefore w:val="0"/>
              <w:widowControl w:val="0"/>
              <w:kinsoku/>
              <w:wordWrap/>
              <w:overflowPunct w:val="0"/>
              <w:topLinePunct w:val="0"/>
              <w:autoSpaceDE/>
              <w:autoSpaceDN/>
              <w:bidi w:val="0"/>
              <w:adjustRightInd w:val="0"/>
              <w:snapToGrid/>
              <w:spacing w:line="240" w:lineRule="auto"/>
              <w:jc w:val="center"/>
              <w:textAlignment w:val="baseline"/>
            </w:pPr>
          </w:p>
        </w:tc>
      </w:tr>
    </w:tbl>
    <w:p w14:paraId="6E8CC85B">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、劳动防护用品</w:t>
      </w:r>
    </w:p>
    <w:p w14:paraId="5B672B70">
      <w:pPr>
        <w:rPr>
          <w:color w:val="000000" w:themeColor="text1"/>
          <w14:textFill>
            <w14:solidFill>
              <w14:schemeClr w14:val="tx1"/>
            </w14:solidFill>
          </w14:textFill>
        </w:rPr>
      </w:pPr>
      <w:r>
        <w:rPr>
          <w:color w:val="000000" w:themeColor="text1"/>
          <w:lang w:val="zh-CN"/>
          <w14:textFill>
            <w14:solidFill>
              <w14:schemeClr w14:val="tx1"/>
            </w14:solidFill>
          </w14:textFill>
        </w:rPr>
        <w:t>该加油站为从业人员定期发放防静电工作服、工作鞋、手套、口罩</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并有发放记录。</w:t>
      </w:r>
    </w:p>
    <w:p w14:paraId="11C608AD">
      <w:pPr>
        <w:pStyle w:val="3"/>
        <w:rPr>
          <w:color w:val="000000" w:themeColor="text1"/>
          <w14:textFill>
            <w14:solidFill>
              <w14:schemeClr w14:val="tx1"/>
            </w14:solidFill>
          </w14:textFill>
        </w:rPr>
      </w:pPr>
      <w:bookmarkStart w:id="151" w:name="_Toc22476"/>
      <w:bookmarkStart w:id="152" w:name="_Toc275268741"/>
      <w:bookmarkStart w:id="153" w:name="_Toc15242"/>
      <w:r>
        <w:rPr>
          <w:color w:val="000000" w:themeColor="text1"/>
          <w14:textFill>
            <w14:solidFill>
              <w14:schemeClr w14:val="tx1"/>
            </w14:solidFill>
          </w14:textFill>
        </w:rPr>
        <w:t>安全管理</w:t>
      </w:r>
      <w:bookmarkEnd w:id="151"/>
      <w:bookmarkEnd w:id="152"/>
      <w:bookmarkEnd w:id="153"/>
    </w:p>
    <w:p w14:paraId="5EF9376B">
      <w:pPr>
        <w:pStyle w:val="4"/>
        <w:ind w:firstLine="562"/>
        <w:rPr>
          <w:color w:val="000000" w:themeColor="text1"/>
          <w14:textFill>
            <w14:solidFill>
              <w14:schemeClr w14:val="tx1"/>
            </w14:solidFill>
          </w14:textFill>
        </w:rPr>
      </w:pPr>
      <w:bookmarkStart w:id="154" w:name="_Toc4680"/>
      <w:bookmarkStart w:id="155" w:name="_Toc21405"/>
      <w:bookmarkStart w:id="156" w:name="_Toc275268742"/>
      <w:r>
        <w:rPr>
          <w:color w:val="000000" w:themeColor="text1"/>
          <w14:textFill>
            <w14:solidFill>
              <w14:schemeClr w14:val="tx1"/>
            </w14:solidFill>
          </w14:textFill>
        </w:rPr>
        <w:t>组织机构及人员</w:t>
      </w:r>
      <w:bookmarkEnd w:id="154"/>
      <w:bookmarkEnd w:id="155"/>
      <w:bookmarkEnd w:id="156"/>
    </w:p>
    <w:p w14:paraId="4B6755FE">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文山市星运能源有限公司</w:t>
      </w:r>
      <w:r>
        <w:rPr>
          <w:color w:val="000000" w:themeColor="text1"/>
          <w14:textFill>
            <w14:solidFill>
              <w14:schemeClr w14:val="tx1"/>
            </w14:solidFill>
          </w14:textFill>
        </w:rPr>
        <w:t>安全生产</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为</w:t>
      </w:r>
      <w:r>
        <w:rPr>
          <w:rFonts w:hint="eastAsia"/>
          <w:color w:val="000000" w:themeColor="text1"/>
          <w:lang w:eastAsia="zh-CN"/>
          <w14:textFill>
            <w14:solidFill>
              <w14:schemeClr w14:val="tx1"/>
            </w14:solidFill>
          </w14:textFill>
        </w:rPr>
        <w:t>庞瑞体</w:t>
      </w:r>
      <w:r>
        <w:rPr>
          <w:rFonts w:hint="eastAsia"/>
          <w:color w:val="000000" w:themeColor="text1"/>
          <w14:textFill>
            <w14:solidFill>
              <w14:schemeClr w14:val="tx1"/>
            </w14:solidFill>
          </w14:textFill>
        </w:rPr>
        <w:t>，同时配置了安全管理人员。</w:t>
      </w:r>
      <w:r>
        <w:rPr>
          <w:rFonts w:hint="eastAsia"/>
          <w:color w:val="000000" w:themeColor="text1"/>
          <w:lang w:val="en-GB"/>
          <w14:textFill>
            <w14:solidFill>
              <w14:schemeClr w14:val="tx1"/>
            </w14:solidFill>
          </w14:textFill>
        </w:rPr>
        <w:t>站内设有安全生产领导小组，小组组长由</w:t>
      </w:r>
      <w:r>
        <w:rPr>
          <w:rFonts w:hint="eastAsia"/>
          <w:color w:val="000000" w:themeColor="text1"/>
          <w14:textFill>
            <w14:solidFill>
              <w14:schemeClr w14:val="tx1"/>
            </w14:solidFill>
          </w14:textFill>
        </w:rPr>
        <w:t>主要负责人</w:t>
      </w:r>
      <w:r>
        <w:rPr>
          <w:rFonts w:hint="eastAsia"/>
          <w:color w:val="000000" w:themeColor="text1"/>
          <w:lang w:val="en-GB"/>
          <w14:textFill>
            <w14:solidFill>
              <w14:schemeClr w14:val="tx1"/>
            </w14:solidFill>
          </w14:textFill>
        </w:rPr>
        <w:t>担任，并设有专职安全员。</w:t>
      </w:r>
      <w:r>
        <w:rPr>
          <w:rFonts w:hint="eastAsia"/>
          <w:color w:val="000000" w:themeColor="text1"/>
          <w:lang w:eastAsia="zh-CN"/>
          <w14:textFill>
            <w14:solidFill>
              <w14:schemeClr w14:val="tx1"/>
            </w14:solidFill>
          </w14:textFill>
        </w:rPr>
        <w:t>文山市星运能源有限公司</w:t>
      </w:r>
      <w:r>
        <w:rPr>
          <w:color w:val="000000" w:themeColor="text1"/>
          <w14:textFill>
            <w14:solidFill>
              <w14:schemeClr w14:val="tx1"/>
            </w14:solidFill>
          </w14:textFill>
        </w:rPr>
        <w:t>还成立了由</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负责的事故应急救援指挥领导小组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针对可能发生的事故制定了应采取的相关措施。</w:t>
      </w:r>
      <w:r>
        <w:rPr>
          <w:rFonts w:hint="eastAsia"/>
          <w:color w:val="000000" w:themeColor="text1"/>
          <w14:textFill>
            <w14:solidFill>
              <w14:schemeClr w14:val="tx1"/>
            </w14:solidFill>
          </w14:textFill>
        </w:rPr>
        <w:t>安全领导</w:t>
      </w:r>
      <w:r>
        <w:rPr>
          <w:color w:val="000000" w:themeColor="text1"/>
          <w14:textFill>
            <w14:solidFill>
              <w14:schemeClr w14:val="tx1"/>
            </w14:solidFill>
          </w14:textFill>
        </w:rPr>
        <w:t>小组具体组成如下：</w:t>
      </w:r>
    </w:p>
    <w:p w14:paraId="62910461">
      <w:pP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组长：</w:t>
      </w:r>
      <w:r>
        <w:rPr>
          <w:rFonts w:hint="eastAsia"/>
          <w:color w:val="000000" w:themeColor="text1"/>
          <w:lang w:eastAsia="zh-CN"/>
          <w14:textFill>
            <w14:solidFill>
              <w14:schemeClr w14:val="tx1"/>
            </w14:solidFill>
          </w14:textFill>
        </w:rPr>
        <w:t>庞瑞体（</w:t>
      </w:r>
      <w:r>
        <w:rPr>
          <w:rFonts w:hint="eastAsia"/>
          <w:color w:val="000000" w:themeColor="text1"/>
          <w:lang w:val="en-US" w:eastAsia="zh-CN"/>
          <w14:textFill>
            <w14:solidFill>
              <w14:schemeClr w14:val="tx1"/>
            </w14:solidFill>
          </w14:textFill>
        </w:rPr>
        <w:t>法定代表人、主要负责人</w:t>
      </w:r>
      <w:r>
        <w:rPr>
          <w:rFonts w:hint="eastAsia"/>
          <w:color w:val="000000" w:themeColor="text1"/>
          <w:lang w:eastAsia="zh-CN"/>
          <w14:textFill>
            <w14:solidFill>
              <w14:schemeClr w14:val="tx1"/>
            </w14:solidFill>
          </w14:textFill>
        </w:rPr>
        <w:t>）</w:t>
      </w:r>
    </w:p>
    <w:p w14:paraId="5455B99E">
      <w:pP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副组长：李红</w:t>
      </w:r>
    </w:p>
    <w:p w14:paraId="3BC2CC90">
      <w:pP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组员：加油站从业人员</w:t>
      </w:r>
    </w:p>
    <w:p w14:paraId="376CF3BA">
      <w:pPr>
        <w:tabs>
          <w:tab w:val="center" w:pos="4592"/>
        </w:tabs>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加油站安全管理网络图见图2-</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p>
    <w:p w14:paraId="121804D5">
      <w:pPr>
        <w:ind w:left="0" w:leftChars="0" w:firstLine="0" w:firstLineChars="0"/>
        <w:rPr>
          <w:color w:val="000000" w:themeColor="text1"/>
          <w:szCs w:val="28"/>
          <w14:textFill>
            <w14:solidFill>
              <w14:schemeClr w14:val="tx1"/>
            </w14:solidFill>
          </w14:textFill>
        </w:rPr>
      </w:pPr>
      <w:r>
        <w:rPr>
          <w:sz w:val="28"/>
        </w:rPr>
        <mc:AlternateContent>
          <mc:Choice Requires="wpg">
            <w:drawing>
              <wp:anchor distT="0" distB="0" distL="114300" distR="114300" simplePos="0" relativeHeight="251667456" behindDoc="0" locked="0" layoutInCell="1" allowOverlap="1">
                <wp:simplePos x="0" y="0"/>
                <wp:positionH relativeFrom="column">
                  <wp:posOffset>1805940</wp:posOffset>
                </wp:positionH>
                <wp:positionV relativeFrom="paragraph">
                  <wp:posOffset>28575</wp:posOffset>
                </wp:positionV>
                <wp:extent cx="1903730" cy="1555115"/>
                <wp:effectExtent l="8255" t="7620" r="8255" b="22225"/>
                <wp:wrapNone/>
                <wp:docPr id="84" name="组合 84"/>
                <wp:cNvGraphicFramePr/>
                <a:graphic xmlns:a="http://schemas.openxmlformats.org/drawingml/2006/main">
                  <a:graphicData uri="http://schemas.microsoft.com/office/word/2010/wordprocessingGroup">
                    <wpg:wgp>
                      <wpg:cNvGrpSpPr/>
                      <wpg:grpSpPr>
                        <a:xfrm>
                          <a:off x="0" y="0"/>
                          <a:ext cx="1903730" cy="1555115"/>
                          <a:chOff x="5404" y="662910"/>
                          <a:chExt cx="2998" cy="2449"/>
                        </a:xfrm>
                      </wpg:grpSpPr>
                      <wps:wsp>
                        <wps:cNvPr id="487" name="文本框 487"/>
                        <wps:cNvSpPr txBox="1"/>
                        <wps:spPr>
                          <a:xfrm>
                            <a:off x="5404" y="662910"/>
                            <a:ext cx="2999" cy="49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52967DBC">
                              <w:pPr>
                                <w:spacing w:line="240" w:lineRule="auto"/>
                                <w:ind w:firstLine="0" w:firstLineChars="0"/>
                                <w:jc w:val="center"/>
                                <w:rPr>
                                  <w:rFonts w:hint="eastAsia"/>
                                  <w:sz w:val="24"/>
                                  <w:szCs w:val="24"/>
                                  <w:lang w:val="en-US" w:eastAsia="zh-CN"/>
                                </w:rPr>
                              </w:pPr>
                              <w:r>
                                <w:rPr>
                                  <w:rFonts w:hint="eastAsia"/>
                                  <w:sz w:val="24"/>
                                  <w:szCs w:val="24"/>
                                  <w:lang w:val="en-US" w:eastAsia="zh-CN"/>
                                </w:rPr>
                                <w:t>法定代表人（主要负责人）</w:t>
                              </w:r>
                            </w:p>
                          </w:txbxContent>
                        </wps:txbx>
                        <wps:bodyPr upright="1"/>
                      </wps:wsp>
                      <wps:wsp>
                        <wps:cNvPr id="482" name="直接连接符 482"/>
                        <wps:cNvCnPr/>
                        <wps:spPr>
                          <a:xfrm flipH="1">
                            <a:off x="6835" y="663422"/>
                            <a:ext cx="12" cy="457"/>
                          </a:xfrm>
                          <a:prstGeom prst="line">
                            <a:avLst/>
                          </a:prstGeom>
                          <a:ln w="15875" cap="flat" cmpd="sng">
                            <a:solidFill>
                              <a:srgbClr val="000000"/>
                            </a:solidFill>
                            <a:prstDash val="solid"/>
                            <a:headEnd type="none" w="med" len="med"/>
                            <a:tailEnd type="arrow" w="med" len="med"/>
                          </a:ln>
                        </wps:spPr>
                        <wps:bodyPr/>
                      </wps:wsp>
                      <wps:wsp>
                        <wps:cNvPr id="477" name="文本框 477"/>
                        <wps:cNvSpPr txBox="1"/>
                        <wps:spPr>
                          <a:xfrm>
                            <a:off x="5646" y="663890"/>
                            <a:ext cx="2330" cy="46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01E36558">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安全员</w:t>
                              </w:r>
                            </w:p>
                          </w:txbxContent>
                        </wps:txbx>
                        <wps:bodyPr upright="1"/>
                      </wps:wsp>
                      <wps:wsp>
                        <wps:cNvPr id="473" name="直接连接符 473"/>
                        <wps:cNvCnPr/>
                        <wps:spPr>
                          <a:xfrm>
                            <a:off x="6876" y="664375"/>
                            <a:ext cx="1" cy="480"/>
                          </a:xfrm>
                          <a:prstGeom prst="line">
                            <a:avLst/>
                          </a:prstGeom>
                          <a:ln w="15875" cap="flat" cmpd="sng">
                            <a:solidFill>
                              <a:srgbClr val="000000"/>
                            </a:solidFill>
                            <a:prstDash val="solid"/>
                            <a:headEnd type="none" w="med" len="med"/>
                            <a:tailEnd type="arrow" w="med" len="med"/>
                          </a:ln>
                        </wps:spPr>
                        <wps:bodyPr/>
                      </wps:wsp>
                      <wps:wsp>
                        <wps:cNvPr id="478" name="文本框 478"/>
                        <wps:cNvSpPr txBox="1"/>
                        <wps:spPr>
                          <a:xfrm>
                            <a:off x="5691" y="664865"/>
                            <a:ext cx="2269" cy="494"/>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61979DB3">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从业人员</w:t>
                              </w:r>
                            </w:p>
                          </w:txbxContent>
                        </wps:txbx>
                        <wps:bodyPr upright="1"/>
                      </wps:wsp>
                    </wpg:wgp>
                  </a:graphicData>
                </a:graphic>
              </wp:anchor>
            </w:drawing>
          </mc:Choice>
          <mc:Fallback>
            <w:pict>
              <v:group id="_x0000_s1026" o:spid="_x0000_s1026" o:spt="203" style="position:absolute;left:0pt;margin-left:142.2pt;margin-top:2.25pt;height:122.45pt;width:149.9pt;z-index:251667456;mso-width-relative:page;mso-height-relative:page;" coordorigin="5404,662910" coordsize="2998,2449" o:gfxdata="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">
                <o:lock v:ext="edit" aspectratio="f"/>
                <v:shape id="_x0000_s1026" o:spid="_x0000_s1026" o:spt="202" type="#_x0000_t202" style="position:absolute;left:5404;top:662910;height:495;width:2999;" fillcolor="#FFFFFF" filled="t" stroked="t" coordsize="21600,21600" o:gfxdata="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h0P28AAAA&#10;3AAAAA8AAAAAAAAAAQAgAAAAIgAAAGRycy9kb3ducmV2LnhtbFBLAQIUABQAAAAIAIdO4kAzLwWe&#10;OwAAADkAAAAQAAAAAAAAAAEAIAAAAAsBAABkcnMvc2hhcGV4bWwueG1sUEsFBgAAAAAGAAYAWwEA&#10;ALUDAAAAAA==&#10;">
                  <v:fill type="gradient" on="t" color2="#FFFFFF" angle="90" focus="100%" focussize="0,0">
                    <o:fill type="gradientUnscaled" v:ext="backwardCompatible"/>
                  </v:fill>
                  <v:stroke weight="1.25pt" color="#000000" joinstyle="miter"/>
                  <v:imagedata o:title=""/>
                  <o:lock v:ext="edit" aspectratio="f"/>
                  <v:textbox>
                    <w:txbxContent>
                      <w:p w14:paraId="52967DBC">
                        <w:pPr>
                          <w:spacing w:line="240" w:lineRule="auto"/>
                          <w:ind w:firstLine="0" w:firstLineChars="0"/>
                          <w:jc w:val="center"/>
                          <w:rPr>
                            <w:rFonts w:hint="eastAsia"/>
                            <w:sz w:val="24"/>
                            <w:szCs w:val="24"/>
                            <w:lang w:val="en-US" w:eastAsia="zh-CN"/>
                          </w:rPr>
                        </w:pPr>
                        <w:r>
                          <w:rPr>
                            <w:rFonts w:hint="eastAsia"/>
                            <w:sz w:val="24"/>
                            <w:szCs w:val="24"/>
                            <w:lang w:val="en-US" w:eastAsia="zh-CN"/>
                          </w:rPr>
                          <w:t>法定代表人（主要负责人）</w:t>
                        </w:r>
                      </w:p>
                    </w:txbxContent>
                  </v:textbox>
                </v:shape>
                <v:line id="_x0000_s1026" o:spid="_x0000_s1026" o:spt="20" style="position:absolute;left:6835;top:663422;flip:x;height:457;width:12;" filled="f" stroked="t" coordsize="21600,21600" o:gfxdata="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IfxvQAA&#10;ANwAAAAPAAAAAAAAAAEAIAAAACIAAABkcnMvZG93bnJldi54bWxQSwECFAAUAAAACACHTuJAMy8F&#10;njsAAAA5AAAAEAAAAAAAAAABACAAAAAMAQAAZHJzL3NoYXBleG1sLnhtbFBLBQYAAAAABgAGAFsB&#10;AAC2AwAAAAA=&#10;">
                  <v:fill on="f" focussize="0,0"/>
                  <v:stroke weight="1.25pt" color="#000000" joinstyle="round" endarrow="open"/>
                  <v:imagedata o:title=""/>
                  <o:lock v:ext="edit" aspectratio="f"/>
                </v:line>
                <v:shape id="_x0000_s1026" o:spid="_x0000_s1026" o:spt="202" type="#_x0000_t202" style="position:absolute;left:5646;top:663890;height:465;width:2330;" fillcolor="#FFFFFF" filled="t" stroked="t" coordsize="21600,21600" o:gfxdata="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tKDavQAA&#10;ANwAAAAPAAAAAAAAAAEAIAAAACIAAABkcnMvZG93bnJldi54bWxQSwECFAAUAAAACACHTuJAMy8F&#10;njsAAAA5AAAAEAAAAAAAAAABACAAAAAMAQAAZHJzL3NoYXBleG1sLnhtbFBLBQYAAAAABgAGAFsB&#10;AAC2AwAAAAA=&#10;">
                  <v:fill type="gradient" on="t" color2="#FFFFFF" angle="90" focus="100%" focussize="0,0">
                    <o:fill type="gradientUnscaled" v:ext="backwardCompatible"/>
                  </v:fill>
                  <v:stroke weight="1.25pt" color="#000000" joinstyle="miter"/>
                  <v:imagedata o:title=""/>
                  <o:lock v:ext="edit" aspectratio="f"/>
                  <v:textbox>
                    <w:txbxContent>
                      <w:p w14:paraId="01E36558">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安全员</w:t>
                        </w:r>
                      </w:p>
                    </w:txbxContent>
                  </v:textbox>
                </v:shape>
                <v:line id="_x0000_s1026" o:spid="_x0000_s1026" o:spt="20" style="position:absolute;left:6876;top:664375;height:480;width:1;" filled="f" stroked="t" coordsize="21600,21600" o:gfxdata="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Yhx&#10;BsEAAADcAAAADwAAAAAAAAABACAAAAAiAAAAZHJzL2Rvd25yZXYueG1sUEsBAhQAFAAAAAgAh07i&#10;QDMvBZ47AAAAOQAAABAAAAAAAAAAAQAgAAAAEAEAAGRycy9zaGFwZXhtbC54bWxQSwUGAAAAAAYA&#10;BgBbAQAAugMAAAAA&#10;">
                  <v:fill on="f" focussize="0,0"/>
                  <v:stroke weight="1.25pt" color="#000000" joinstyle="round" endarrow="open"/>
                  <v:imagedata o:title=""/>
                  <o:lock v:ext="edit" aspectratio="f"/>
                </v:line>
                <v:shape id="_x0000_s1026" o:spid="_x0000_s1026" o:spt="202" type="#_x0000_t202" style="position:absolute;left:5691;top:664865;height:494;width:2269;" fillcolor="#FFFFFF" filled="t" stroked="t" coordsize="21600,21600" o:gfxdata="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UrNKi5AAAA3AAA&#10;AA8AAAAAAAAAAQAgAAAAIgAAAGRycy9kb3ducmV2LnhtbFBLAQIUABQAAAAIAIdO4kAzLwWeOwAA&#10;ADkAAAAQAAAAAAAAAAEAIAAAAAgBAABkcnMvc2hhcGV4bWwueG1sUEsFBgAAAAAGAAYAWwEAALID&#10;AAAAAA==&#10;">
                  <v:fill type="gradient" on="t" color2="#FFFFFF" angle="90" focus="100%" focussize="0,0">
                    <o:fill type="gradientUnscaled" v:ext="backwardCompatible"/>
                  </v:fill>
                  <v:stroke weight="1.25pt" color="#000000" joinstyle="miter"/>
                  <v:imagedata o:title=""/>
                  <o:lock v:ext="edit" aspectratio="f"/>
                  <v:textbox>
                    <w:txbxContent>
                      <w:p w14:paraId="61979DB3">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从业人员</w:t>
                        </w:r>
                      </w:p>
                    </w:txbxContent>
                  </v:textbox>
                </v:shape>
              </v:group>
            </w:pict>
          </mc:Fallback>
        </mc:AlternateContent>
      </w:r>
    </w:p>
    <w:p w14:paraId="7CB73085">
      <w:pPr>
        <w:snapToGrid/>
        <w:rPr>
          <w:color w:val="000000" w:themeColor="text1"/>
          <w:szCs w:val="28"/>
          <w14:textFill>
            <w14:solidFill>
              <w14:schemeClr w14:val="tx1"/>
            </w14:solidFill>
          </w14:textFill>
        </w:rPr>
      </w:pPr>
    </w:p>
    <w:p w14:paraId="0D0D59FF">
      <w:pPr>
        <w:snapToGrid/>
        <w:rPr>
          <w:color w:val="000000" w:themeColor="text1"/>
          <w:szCs w:val="28"/>
          <w14:textFill>
            <w14:solidFill>
              <w14:schemeClr w14:val="tx1"/>
            </w14:solidFill>
          </w14:textFill>
        </w:rPr>
      </w:pPr>
    </w:p>
    <w:p w14:paraId="56AD7A0A">
      <w:pPr>
        <w:snapToGrid/>
        <w:rPr>
          <w:color w:val="000000" w:themeColor="text1"/>
          <w:szCs w:val="28"/>
          <w14:textFill>
            <w14:solidFill>
              <w14:schemeClr w14:val="tx1"/>
            </w14:solidFill>
          </w14:textFill>
        </w:rPr>
      </w:pPr>
    </w:p>
    <w:p w14:paraId="2FCC76B1">
      <w:pPr>
        <w:snapToGrid/>
        <w:rPr>
          <w:color w:val="000000" w:themeColor="text1"/>
          <w:szCs w:val="28"/>
          <w14:textFill>
            <w14:solidFill>
              <w14:schemeClr w14:val="tx1"/>
            </w14:solidFill>
          </w14:textFill>
        </w:rPr>
      </w:pPr>
    </w:p>
    <w:p w14:paraId="48A5DB82">
      <w:pPr>
        <w:pStyle w:val="78"/>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图2-6加油站安全管理网络图</w:t>
      </w:r>
    </w:p>
    <w:p w14:paraId="6A727FDD">
      <w:pPr>
        <w:pStyle w:val="4"/>
        <w:ind w:firstLine="562"/>
        <w:rPr>
          <w:color w:val="000000" w:themeColor="text1"/>
          <w14:textFill>
            <w14:solidFill>
              <w14:schemeClr w14:val="tx1"/>
            </w14:solidFill>
          </w14:textFill>
        </w:rPr>
      </w:pPr>
      <w:bookmarkStart w:id="157" w:name="_Toc275268743"/>
      <w:bookmarkStart w:id="158" w:name="_Toc235587829"/>
      <w:bookmarkStart w:id="159" w:name="_Toc236123693"/>
      <w:bookmarkStart w:id="160" w:name="_Toc191729701"/>
      <w:bookmarkStart w:id="161" w:name="_Toc248220542"/>
      <w:bookmarkStart w:id="162" w:name="_Toc191729997"/>
      <w:bookmarkStart w:id="163" w:name="_Toc6531"/>
      <w:bookmarkStart w:id="164" w:name="_Toc191728141"/>
      <w:bookmarkStart w:id="165" w:name="_Toc194389905"/>
      <w:bookmarkStart w:id="166" w:name="_Toc208398699"/>
      <w:bookmarkStart w:id="167" w:name="_Toc19534"/>
      <w:r>
        <w:rPr>
          <w:color w:val="000000" w:themeColor="text1"/>
          <w14:textFill>
            <w14:solidFill>
              <w14:schemeClr w14:val="tx1"/>
            </w14:solidFill>
          </w14:textFill>
        </w:rPr>
        <w:t>安全生产责任制</w:t>
      </w:r>
      <w:bookmarkEnd w:id="157"/>
      <w:bookmarkEnd w:id="158"/>
      <w:bookmarkEnd w:id="159"/>
      <w:bookmarkEnd w:id="160"/>
      <w:bookmarkEnd w:id="161"/>
      <w:bookmarkEnd w:id="162"/>
      <w:bookmarkEnd w:id="163"/>
      <w:bookmarkEnd w:id="164"/>
      <w:bookmarkEnd w:id="165"/>
      <w:bookmarkEnd w:id="166"/>
      <w:bookmarkEnd w:id="167"/>
    </w:p>
    <w:p w14:paraId="739F9910">
      <w:pPr>
        <w:rPr>
          <w:color w:val="000000" w:themeColor="text1"/>
          <w:lang w:val="zh-CN"/>
          <w14:textFill>
            <w14:solidFill>
              <w14:schemeClr w14:val="tx1"/>
            </w14:solidFill>
          </w14:textFill>
        </w:rPr>
      </w:pPr>
      <w:bookmarkStart w:id="168" w:name="_Toc191729998"/>
      <w:bookmarkStart w:id="169" w:name="_Toc235587830"/>
      <w:bookmarkStart w:id="170" w:name="_Toc275268744"/>
      <w:bookmarkStart w:id="171" w:name="_Toc191728142"/>
      <w:bookmarkStart w:id="172" w:name="_Toc208398700"/>
      <w:bookmarkStart w:id="173" w:name="_Toc236123694"/>
      <w:bookmarkStart w:id="174" w:name="_Toc248220543"/>
      <w:bookmarkStart w:id="175" w:name="_Toc191729702"/>
      <w:bookmarkStart w:id="176" w:name="_Toc194389906"/>
      <w:r>
        <w:rPr>
          <w:color w:val="000000" w:themeColor="text1"/>
          <w:lang w:val="zh-CN"/>
          <w14:textFill>
            <w14:solidFill>
              <w14:schemeClr w14:val="tx1"/>
            </w14:solidFill>
          </w14:textFill>
        </w:rPr>
        <w:t>加油站根据国家相关要求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建立了以下岗位职责：</w:t>
      </w:r>
    </w:p>
    <w:p w14:paraId="6DBC2691">
      <w:pPr>
        <w:rPr>
          <w:rFonts w:hint="eastAsia"/>
        </w:rPr>
      </w:pPr>
      <w:r>
        <w:t>1.</w:t>
      </w:r>
      <w:r>
        <w:rPr>
          <w:rFonts w:hint="eastAsia"/>
        </w:rPr>
        <w:t>站长安全生产责任制</w:t>
      </w:r>
    </w:p>
    <w:p w14:paraId="6AA3614C">
      <w:pPr>
        <w:rPr>
          <w:rFonts w:hint="eastAsia" w:eastAsia="宋体"/>
          <w:lang w:eastAsia="zh-CN"/>
        </w:rPr>
      </w:pPr>
      <w:r>
        <w:t>2.</w:t>
      </w:r>
      <w:r>
        <w:rPr>
          <w:rFonts w:hint="eastAsia"/>
          <w:lang w:val="en-US" w:eastAsia="zh-CN"/>
        </w:rPr>
        <w:t>安全管理员责任制</w:t>
      </w:r>
    </w:p>
    <w:p w14:paraId="2051D344">
      <w:pPr>
        <w:rPr>
          <w:rFonts w:hint="default" w:eastAsia="宋体"/>
          <w:lang w:val="en-US" w:eastAsia="zh-CN"/>
        </w:rPr>
      </w:pPr>
      <w:r>
        <w:t>3.</w:t>
      </w:r>
      <w:r>
        <w:rPr>
          <w:rFonts w:hint="eastAsia"/>
          <w:lang w:val="en-US" w:eastAsia="zh-CN"/>
        </w:rPr>
        <w:t>领班员安全责任制</w:t>
      </w:r>
    </w:p>
    <w:p w14:paraId="5E30126F">
      <w:pPr>
        <w:rPr>
          <w:rFonts w:hint="default" w:eastAsia="宋体"/>
          <w:lang w:val="en-US" w:eastAsia="zh-CN"/>
        </w:rPr>
      </w:pPr>
      <w:r>
        <w:t>4.</w:t>
      </w:r>
      <w:r>
        <w:rPr>
          <w:rFonts w:hint="eastAsia"/>
          <w:lang w:val="en-US" w:eastAsia="zh-CN"/>
        </w:rPr>
        <w:t>加油员岗位责任制</w:t>
      </w:r>
    </w:p>
    <w:p w14:paraId="39C0E848">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加油站已经按照相关主管部门的要求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组织员工进行培训学习</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并将岗位职责落实到个人。</w:t>
      </w:r>
    </w:p>
    <w:p w14:paraId="265BAD77">
      <w:pPr>
        <w:pStyle w:val="4"/>
        <w:ind w:firstLine="562"/>
        <w:rPr>
          <w:color w:val="000000" w:themeColor="text1"/>
          <w14:textFill>
            <w14:solidFill>
              <w14:schemeClr w14:val="tx1"/>
            </w14:solidFill>
          </w14:textFill>
        </w:rPr>
      </w:pPr>
      <w:bookmarkStart w:id="177" w:name="_Toc19363"/>
      <w:bookmarkStart w:id="178" w:name="_Toc9082"/>
      <w:r>
        <w:rPr>
          <w:color w:val="000000" w:themeColor="text1"/>
          <w14:textFill>
            <w14:solidFill>
              <w14:schemeClr w14:val="tx1"/>
            </w14:solidFill>
          </w14:textFill>
        </w:rPr>
        <w:t>安全管理制度</w:t>
      </w:r>
      <w:bookmarkEnd w:id="168"/>
      <w:bookmarkEnd w:id="169"/>
      <w:bookmarkEnd w:id="170"/>
      <w:bookmarkEnd w:id="171"/>
      <w:bookmarkEnd w:id="172"/>
      <w:bookmarkEnd w:id="173"/>
      <w:bookmarkEnd w:id="174"/>
      <w:bookmarkEnd w:id="175"/>
      <w:bookmarkEnd w:id="176"/>
      <w:bookmarkEnd w:id="177"/>
      <w:bookmarkEnd w:id="178"/>
    </w:p>
    <w:p w14:paraId="07A1B841">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文山市星运能源有限公司根据国家相关要求并结合加油站实际情况，组织制定了以下安全生产管理制度：</w:t>
      </w:r>
    </w:p>
    <w:p w14:paraId="62DA3DDF">
      <w:pPr>
        <w:rPr>
          <w:rFonts w:hint="eastAsia"/>
        </w:rPr>
      </w:pPr>
      <w:r>
        <w:rPr>
          <w:rFonts w:hint="eastAsia"/>
          <w:lang w:val="en-US" w:eastAsia="zh-CN"/>
        </w:rPr>
        <w:t>1.</w:t>
      </w:r>
      <w:r>
        <w:rPr>
          <w:rFonts w:hint="eastAsia"/>
        </w:rPr>
        <w:t>识别和获取安全生产法律法规管理制度</w:t>
      </w:r>
    </w:p>
    <w:p w14:paraId="3CA3BE14">
      <w:pPr>
        <w:rPr>
          <w:rFonts w:hint="eastAsia"/>
        </w:rPr>
      </w:pPr>
      <w:r>
        <w:rPr>
          <w:rFonts w:hint="eastAsia"/>
          <w:lang w:val="en-US" w:eastAsia="zh-CN"/>
        </w:rPr>
        <w:t>2.</w:t>
      </w:r>
      <w:r>
        <w:rPr>
          <w:rFonts w:hint="eastAsia"/>
        </w:rPr>
        <w:t>安全生产责任制管理制度</w:t>
      </w:r>
    </w:p>
    <w:p w14:paraId="54DF9C5E">
      <w:pPr>
        <w:rPr>
          <w:rFonts w:hint="eastAsia"/>
        </w:rPr>
      </w:pPr>
      <w:r>
        <w:rPr>
          <w:rFonts w:hint="eastAsia"/>
          <w:lang w:val="en-US" w:eastAsia="zh-CN"/>
        </w:rPr>
        <w:t>3.</w:t>
      </w:r>
      <w:r>
        <w:rPr>
          <w:rFonts w:hint="eastAsia"/>
        </w:rPr>
        <w:t>安全生产责任制考核制度</w:t>
      </w:r>
    </w:p>
    <w:p w14:paraId="4816695D">
      <w:pPr>
        <w:rPr>
          <w:rFonts w:hint="eastAsia"/>
        </w:rPr>
      </w:pPr>
      <w:r>
        <w:rPr>
          <w:rFonts w:hint="eastAsia"/>
          <w:lang w:val="en-US" w:eastAsia="zh-CN"/>
        </w:rPr>
        <w:t>4.</w:t>
      </w:r>
      <w:r>
        <w:rPr>
          <w:rFonts w:hint="eastAsia"/>
        </w:rPr>
        <w:t>安全会议管理制度</w:t>
      </w:r>
    </w:p>
    <w:p w14:paraId="671DE001">
      <w:pPr>
        <w:rPr>
          <w:rFonts w:hint="eastAsia"/>
        </w:rPr>
      </w:pPr>
      <w:r>
        <w:rPr>
          <w:rFonts w:hint="eastAsia"/>
          <w:lang w:val="en-US" w:eastAsia="zh-CN"/>
        </w:rPr>
        <w:t>5.</w:t>
      </w:r>
      <w:r>
        <w:rPr>
          <w:rFonts w:hint="eastAsia"/>
        </w:rPr>
        <w:t>领导干部带班制度</w:t>
      </w:r>
    </w:p>
    <w:p w14:paraId="06612799">
      <w:pPr>
        <w:rPr>
          <w:rFonts w:hint="eastAsia"/>
        </w:rPr>
      </w:pPr>
      <w:r>
        <w:rPr>
          <w:rFonts w:hint="eastAsia"/>
          <w:lang w:val="en-US" w:eastAsia="zh-CN"/>
        </w:rPr>
        <w:t>6.</w:t>
      </w:r>
      <w:r>
        <w:rPr>
          <w:rFonts w:hint="eastAsia"/>
        </w:rPr>
        <w:t>安全生产奖惩管理制度</w:t>
      </w:r>
    </w:p>
    <w:p w14:paraId="290A55A1">
      <w:pPr>
        <w:rPr>
          <w:rFonts w:hint="eastAsia"/>
        </w:rPr>
      </w:pPr>
      <w:r>
        <w:rPr>
          <w:rFonts w:hint="eastAsia"/>
          <w:lang w:val="en-US" w:eastAsia="zh-CN"/>
        </w:rPr>
        <w:t>7.</w:t>
      </w:r>
      <w:r>
        <w:rPr>
          <w:rFonts w:hint="eastAsia"/>
        </w:rPr>
        <w:t>安全生产费用管理制度</w:t>
      </w:r>
    </w:p>
    <w:p w14:paraId="18F6585D">
      <w:pPr>
        <w:rPr>
          <w:rFonts w:hint="eastAsia"/>
        </w:rPr>
      </w:pPr>
      <w:r>
        <w:rPr>
          <w:rFonts w:hint="eastAsia"/>
          <w:lang w:val="en-US" w:eastAsia="zh-CN"/>
        </w:rPr>
        <w:t>8.</w:t>
      </w:r>
      <w:r>
        <w:rPr>
          <w:rFonts w:hint="eastAsia"/>
        </w:rPr>
        <w:t>安全风险抵押金管理制度</w:t>
      </w:r>
    </w:p>
    <w:p w14:paraId="43F8518B">
      <w:pPr>
        <w:rPr>
          <w:rFonts w:hint="eastAsia"/>
        </w:rPr>
      </w:pPr>
      <w:r>
        <w:rPr>
          <w:rFonts w:hint="eastAsia"/>
          <w:lang w:val="en-US" w:eastAsia="zh-CN"/>
        </w:rPr>
        <w:t>9.</w:t>
      </w:r>
      <w:r>
        <w:rPr>
          <w:rFonts w:hint="eastAsia"/>
        </w:rPr>
        <w:t>风险评价管理制度</w:t>
      </w:r>
    </w:p>
    <w:p w14:paraId="7E5C4B73">
      <w:pPr>
        <w:rPr>
          <w:rFonts w:hint="eastAsia"/>
        </w:rPr>
      </w:pPr>
      <w:r>
        <w:rPr>
          <w:rFonts w:hint="eastAsia"/>
          <w:lang w:val="en-US" w:eastAsia="zh-CN"/>
        </w:rPr>
        <w:t>10.</w:t>
      </w:r>
      <w:r>
        <w:rPr>
          <w:rFonts w:hint="eastAsia"/>
        </w:rPr>
        <w:t>重大危险源管理制度</w:t>
      </w:r>
    </w:p>
    <w:p w14:paraId="49F22C31">
      <w:pPr>
        <w:rPr>
          <w:rFonts w:hint="eastAsia"/>
        </w:rPr>
      </w:pPr>
      <w:r>
        <w:rPr>
          <w:rFonts w:hint="eastAsia"/>
          <w:lang w:val="en-US" w:eastAsia="zh-CN"/>
        </w:rPr>
        <w:t>11.</w:t>
      </w:r>
      <w:r>
        <w:rPr>
          <w:rFonts w:hint="eastAsia"/>
        </w:rPr>
        <w:t>供应商管理制度</w:t>
      </w:r>
    </w:p>
    <w:p w14:paraId="59362A2C">
      <w:pPr>
        <w:rPr>
          <w:rFonts w:hint="eastAsia"/>
        </w:rPr>
      </w:pPr>
      <w:r>
        <w:rPr>
          <w:rFonts w:hint="eastAsia"/>
          <w:lang w:val="en-US" w:eastAsia="zh-CN"/>
        </w:rPr>
        <w:t>12.</w:t>
      </w:r>
      <w:r>
        <w:rPr>
          <w:rFonts w:hint="eastAsia"/>
        </w:rPr>
        <w:t>管理制度、操作规程的评审和修订制度</w:t>
      </w:r>
    </w:p>
    <w:p w14:paraId="2EB5B2F1">
      <w:pPr>
        <w:rPr>
          <w:rFonts w:hint="eastAsia"/>
        </w:rPr>
      </w:pPr>
      <w:r>
        <w:rPr>
          <w:rFonts w:hint="eastAsia"/>
          <w:lang w:val="en-US" w:eastAsia="zh-CN"/>
        </w:rPr>
        <w:t>13.</w:t>
      </w:r>
      <w:r>
        <w:rPr>
          <w:rFonts w:hint="eastAsia"/>
        </w:rPr>
        <w:t>安全生产文件档案管理制度</w:t>
      </w:r>
    </w:p>
    <w:p w14:paraId="2DE0C8BF">
      <w:pPr>
        <w:rPr>
          <w:rFonts w:hint="eastAsia"/>
        </w:rPr>
      </w:pPr>
      <w:r>
        <w:rPr>
          <w:rFonts w:hint="eastAsia"/>
          <w:lang w:val="en-US" w:eastAsia="zh-CN"/>
        </w:rPr>
        <w:t>14.</w:t>
      </w:r>
      <w:r>
        <w:rPr>
          <w:rFonts w:hint="eastAsia"/>
        </w:rPr>
        <w:t>安全培训教育管理制度</w:t>
      </w:r>
    </w:p>
    <w:p w14:paraId="0C4C79CE">
      <w:pPr>
        <w:rPr>
          <w:rFonts w:hint="eastAsia"/>
        </w:rPr>
      </w:pPr>
      <w:r>
        <w:rPr>
          <w:rFonts w:hint="eastAsia"/>
          <w:lang w:val="en-US" w:eastAsia="zh-CN"/>
        </w:rPr>
        <w:t>15.</w:t>
      </w:r>
      <w:r>
        <w:rPr>
          <w:rFonts w:hint="eastAsia"/>
        </w:rPr>
        <w:t>安全活动管理制度</w:t>
      </w:r>
    </w:p>
    <w:p w14:paraId="2945D7C5">
      <w:pPr>
        <w:rPr>
          <w:rFonts w:hint="eastAsia"/>
        </w:rPr>
      </w:pPr>
      <w:r>
        <w:rPr>
          <w:rFonts w:hint="eastAsia"/>
          <w:lang w:val="en-US" w:eastAsia="zh-CN"/>
        </w:rPr>
        <w:t>16.</w:t>
      </w:r>
      <w:r>
        <w:rPr>
          <w:rFonts w:hint="eastAsia"/>
        </w:rPr>
        <w:t>特种作业人员安全管理制度</w:t>
      </w:r>
    </w:p>
    <w:p w14:paraId="57CC5019">
      <w:pPr>
        <w:rPr>
          <w:rFonts w:hint="eastAsia"/>
        </w:rPr>
      </w:pPr>
      <w:r>
        <w:rPr>
          <w:rFonts w:hint="eastAsia"/>
          <w:lang w:val="en-US" w:eastAsia="zh-CN"/>
        </w:rPr>
        <w:t>17.</w:t>
      </w:r>
      <w:r>
        <w:rPr>
          <w:rFonts w:hint="eastAsia"/>
        </w:rPr>
        <w:t>建设项目安全设施“三同时”管理制度</w:t>
      </w:r>
    </w:p>
    <w:p w14:paraId="62318EAA">
      <w:pPr>
        <w:rPr>
          <w:rFonts w:hint="eastAsia"/>
        </w:rPr>
      </w:pPr>
      <w:r>
        <w:rPr>
          <w:rFonts w:hint="eastAsia"/>
          <w:lang w:val="en-US" w:eastAsia="zh-CN"/>
        </w:rPr>
        <w:t>18.</w:t>
      </w:r>
      <w:r>
        <w:rPr>
          <w:rFonts w:hint="eastAsia"/>
        </w:rPr>
        <w:t>生产设施管理制度</w:t>
      </w:r>
    </w:p>
    <w:p w14:paraId="15F2E6BC">
      <w:pPr>
        <w:rPr>
          <w:rFonts w:hint="eastAsia"/>
        </w:rPr>
      </w:pPr>
      <w:r>
        <w:rPr>
          <w:rFonts w:hint="eastAsia"/>
          <w:lang w:val="en-US" w:eastAsia="zh-CN"/>
        </w:rPr>
        <w:t>19.</w:t>
      </w:r>
      <w:r>
        <w:rPr>
          <w:rFonts w:hint="eastAsia"/>
        </w:rPr>
        <w:t>监视和测量设备管理制度</w:t>
      </w:r>
    </w:p>
    <w:p w14:paraId="346ACC49">
      <w:pPr>
        <w:rPr>
          <w:rFonts w:hint="eastAsia"/>
        </w:rPr>
      </w:pPr>
      <w:r>
        <w:rPr>
          <w:rFonts w:hint="eastAsia"/>
          <w:lang w:val="en-US" w:eastAsia="zh-CN"/>
        </w:rPr>
        <w:t>20.</w:t>
      </w:r>
      <w:r>
        <w:rPr>
          <w:rFonts w:hint="eastAsia"/>
        </w:rPr>
        <w:t>检维修管理制度</w:t>
      </w:r>
    </w:p>
    <w:p w14:paraId="5CA532A8">
      <w:pPr>
        <w:rPr>
          <w:rFonts w:hint="eastAsia"/>
        </w:rPr>
      </w:pPr>
      <w:r>
        <w:rPr>
          <w:rFonts w:hint="eastAsia"/>
          <w:lang w:val="en-US" w:eastAsia="zh-CN"/>
        </w:rPr>
        <w:t>21.</w:t>
      </w:r>
      <w:r>
        <w:rPr>
          <w:rFonts w:hint="eastAsia"/>
        </w:rPr>
        <w:t>防雷、防静电、电气设备管理制度</w:t>
      </w:r>
    </w:p>
    <w:p w14:paraId="0CF00860">
      <w:pPr>
        <w:rPr>
          <w:rFonts w:hint="eastAsia"/>
        </w:rPr>
      </w:pPr>
      <w:r>
        <w:rPr>
          <w:rFonts w:hint="eastAsia"/>
          <w:lang w:val="en-US" w:eastAsia="zh-CN"/>
        </w:rPr>
        <w:t>22.</w:t>
      </w:r>
      <w:r>
        <w:rPr>
          <w:rFonts w:hint="eastAsia"/>
        </w:rPr>
        <w:t>电器线路安全管理制度</w:t>
      </w:r>
    </w:p>
    <w:p w14:paraId="2499A619">
      <w:pPr>
        <w:rPr>
          <w:rFonts w:hint="eastAsia"/>
        </w:rPr>
      </w:pPr>
      <w:r>
        <w:rPr>
          <w:rFonts w:hint="eastAsia"/>
          <w:lang w:val="en-US" w:eastAsia="zh-CN"/>
        </w:rPr>
        <w:t>23.</w:t>
      </w:r>
      <w:r>
        <w:rPr>
          <w:rFonts w:hint="eastAsia"/>
        </w:rPr>
        <w:t>田以田由安公等用生度</w:t>
      </w:r>
    </w:p>
    <w:p w14:paraId="5035C75D">
      <w:pPr>
        <w:rPr>
          <w:rFonts w:hint="eastAsia"/>
        </w:rPr>
      </w:pPr>
      <w:r>
        <w:rPr>
          <w:rFonts w:hint="eastAsia"/>
          <w:lang w:val="en-US" w:eastAsia="zh-CN"/>
        </w:rPr>
        <w:t>24.</w:t>
      </w:r>
      <w:r>
        <w:rPr>
          <w:rFonts w:hint="eastAsia"/>
        </w:rPr>
        <w:t>门入门已久王白王</w:t>
      </w:r>
    </w:p>
    <w:p w14:paraId="2ED320E0">
      <w:pPr>
        <w:rPr>
          <w:rFonts w:hint="eastAsia"/>
        </w:rPr>
      </w:pPr>
      <w:r>
        <w:rPr>
          <w:rFonts w:hint="eastAsia"/>
          <w:lang w:val="en-US" w:eastAsia="zh-CN"/>
        </w:rPr>
        <w:t>25.</w:t>
      </w:r>
      <w:r>
        <w:rPr>
          <w:rFonts w:hint="eastAsia"/>
        </w:rPr>
        <w:t>设备器材维护、管理制度</w:t>
      </w:r>
    </w:p>
    <w:p w14:paraId="703DC93F">
      <w:pPr>
        <w:rPr>
          <w:rFonts w:hint="eastAsia"/>
        </w:rPr>
      </w:pPr>
      <w:r>
        <w:rPr>
          <w:rFonts w:hint="eastAsia"/>
          <w:lang w:val="en-US" w:eastAsia="zh-CN"/>
        </w:rPr>
        <w:t>26.</w:t>
      </w:r>
      <w:r>
        <w:rPr>
          <w:rFonts w:hint="eastAsia"/>
        </w:rPr>
        <w:t>消防安全管理制度</w:t>
      </w:r>
    </w:p>
    <w:p w14:paraId="3B8D3BB2">
      <w:pPr>
        <w:rPr>
          <w:rFonts w:hint="eastAsia"/>
        </w:rPr>
      </w:pPr>
      <w:r>
        <w:rPr>
          <w:rFonts w:hint="eastAsia"/>
          <w:lang w:val="en-US" w:eastAsia="zh-CN"/>
        </w:rPr>
        <w:t>27.</w:t>
      </w:r>
      <w:r>
        <w:rPr>
          <w:rFonts w:hint="eastAsia"/>
        </w:rPr>
        <w:t>加油站接卸油管理制度</w:t>
      </w:r>
    </w:p>
    <w:p w14:paraId="73324A4D">
      <w:pPr>
        <w:rPr>
          <w:rFonts w:hint="eastAsia"/>
        </w:rPr>
      </w:pPr>
      <w:r>
        <w:rPr>
          <w:rFonts w:hint="eastAsia"/>
          <w:lang w:val="en-US" w:eastAsia="zh-CN"/>
        </w:rPr>
        <w:t>28.</w:t>
      </w:r>
      <w:r>
        <w:rPr>
          <w:rFonts w:hint="eastAsia"/>
        </w:rPr>
        <w:t>关键装置、重点部位安全管理制度</w:t>
      </w:r>
    </w:p>
    <w:p w14:paraId="6A565BF0">
      <w:pPr>
        <w:rPr>
          <w:rFonts w:hint="eastAsia"/>
        </w:rPr>
      </w:pPr>
      <w:r>
        <w:rPr>
          <w:rFonts w:hint="eastAsia"/>
          <w:lang w:val="en-US" w:eastAsia="zh-CN"/>
        </w:rPr>
        <w:t>29.</w:t>
      </w:r>
      <w:r>
        <w:rPr>
          <w:rFonts w:hint="eastAsia"/>
        </w:rPr>
        <w:t>加油机维护管理制度</w:t>
      </w:r>
    </w:p>
    <w:p w14:paraId="43016E9D">
      <w:pPr>
        <w:rPr>
          <w:rFonts w:hint="eastAsia"/>
        </w:rPr>
      </w:pPr>
      <w:r>
        <w:rPr>
          <w:rFonts w:hint="eastAsia"/>
          <w:lang w:val="en-US" w:eastAsia="zh-CN"/>
        </w:rPr>
        <w:t>30.</w:t>
      </w:r>
      <w:r>
        <w:rPr>
          <w:rFonts w:hint="eastAsia"/>
        </w:rPr>
        <w:t>特种设备安全管理制度</w:t>
      </w:r>
    </w:p>
    <w:p w14:paraId="734CF521">
      <w:pPr>
        <w:rPr>
          <w:rFonts w:hint="eastAsia"/>
        </w:rPr>
      </w:pPr>
      <w:r>
        <w:rPr>
          <w:rFonts w:hint="eastAsia"/>
          <w:lang w:val="en-US" w:eastAsia="zh-CN"/>
        </w:rPr>
        <w:t>31.</w:t>
      </w:r>
      <w:r>
        <w:rPr>
          <w:rFonts w:hint="eastAsia"/>
        </w:rPr>
        <w:t>生产设施的报废和拆除管理制度</w:t>
      </w:r>
    </w:p>
    <w:p w14:paraId="5BDB0080">
      <w:pPr>
        <w:rPr>
          <w:rFonts w:hint="eastAsia"/>
        </w:rPr>
      </w:pPr>
      <w:r>
        <w:rPr>
          <w:rFonts w:hint="eastAsia"/>
          <w:lang w:val="en-US" w:eastAsia="zh-CN"/>
        </w:rPr>
        <w:t>32.</w:t>
      </w:r>
      <w:r>
        <w:rPr>
          <w:rFonts w:hint="eastAsia"/>
        </w:rPr>
        <w:t>特殊作业安全管理制度</w:t>
      </w:r>
    </w:p>
    <w:p w14:paraId="0DEDD36E">
      <w:pPr>
        <w:rPr>
          <w:rFonts w:hint="eastAsia"/>
        </w:rPr>
      </w:pPr>
      <w:r>
        <w:rPr>
          <w:rFonts w:hint="eastAsia"/>
          <w:lang w:val="en-US" w:eastAsia="zh-CN"/>
        </w:rPr>
        <w:t>33.</w:t>
      </w:r>
      <w:r>
        <w:rPr>
          <w:rFonts w:hint="eastAsia"/>
        </w:rPr>
        <w:t>防火、防爆、禁烟管理制度</w:t>
      </w:r>
    </w:p>
    <w:p w14:paraId="43315F57">
      <w:pPr>
        <w:rPr>
          <w:rFonts w:hint="eastAsia"/>
        </w:rPr>
      </w:pPr>
      <w:r>
        <w:rPr>
          <w:rFonts w:hint="eastAsia"/>
          <w:lang w:val="en-US" w:eastAsia="zh-CN"/>
        </w:rPr>
        <w:t>34.</w:t>
      </w:r>
      <w:r>
        <w:rPr>
          <w:rFonts w:hint="eastAsia"/>
        </w:rPr>
        <w:t>仓库、罐区安全管理制度</w:t>
      </w:r>
    </w:p>
    <w:p w14:paraId="2A103C9E">
      <w:pPr>
        <w:rPr>
          <w:rFonts w:hint="eastAsia"/>
        </w:rPr>
      </w:pPr>
      <w:r>
        <w:rPr>
          <w:rFonts w:hint="eastAsia"/>
          <w:lang w:val="en-US" w:eastAsia="zh-CN"/>
        </w:rPr>
        <w:t>35.</w:t>
      </w:r>
      <w:r>
        <w:rPr>
          <w:rFonts w:hint="eastAsia"/>
        </w:rPr>
        <w:t>安全警示标志管理制度</w:t>
      </w:r>
    </w:p>
    <w:p w14:paraId="06F7CFD4">
      <w:pPr>
        <w:rPr>
          <w:rFonts w:hint="eastAsia"/>
        </w:rPr>
      </w:pPr>
      <w:r>
        <w:rPr>
          <w:rFonts w:hint="eastAsia"/>
          <w:lang w:val="en-US" w:eastAsia="zh-CN"/>
        </w:rPr>
        <w:t>36.</w:t>
      </w:r>
      <w:r>
        <w:rPr>
          <w:rFonts w:hint="eastAsia"/>
        </w:rPr>
        <w:t>加油站交通安全管理制度</w:t>
      </w:r>
    </w:p>
    <w:p w14:paraId="765913DD">
      <w:pPr>
        <w:rPr>
          <w:rFonts w:hint="eastAsia"/>
        </w:rPr>
      </w:pPr>
      <w:r>
        <w:rPr>
          <w:rFonts w:hint="eastAsia"/>
          <w:lang w:val="en-US" w:eastAsia="zh-CN"/>
        </w:rPr>
        <w:t>37.</w:t>
      </w:r>
      <w:r>
        <w:rPr>
          <w:rFonts w:hint="eastAsia"/>
        </w:rPr>
        <w:t>承包商管理制度</w:t>
      </w:r>
    </w:p>
    <w:p w14:paraId="1D660934">
      <w:pPr>
        <w:rPr>
          <w:rFonts w:hint="eastAsia"/>
        </w:rPr>
      </w:pPr>
      <w:r>
        <w:rPr>
          <w:rFonts w:hint="eastAsia"/>
          <w:lang w:val="en-US" w:eastAsia="zh-CN"/>
        </w:rPr>
        <w:t>38.</w:t>
      </w:r>
      <w:r>
        <w:rPr>
          <w:rFonts w:hint="eastAsia"/>
        </w:rPr>
        <w:t>变更管理制度</w:t>
      </w:r>
    </w:p>
    <w:p w14:paraId="5CA46B75">
      <w:pPr>
        <w:rPr>
          <w:rFonts w:hint="eastAsia"/>
        </w:rPr>
      </w:pPr>
      <w:r>
        <w:rPr>
          <w:rFonts w:hint="eastAsia"/>
          <w:lang w:val="en-US" w:eastAsia="zh-CN"/>
        </w:rPr>
        <w:t>39.</w:t>
      </w:r>
      <w:r>
        <w:rPr>
          <w:rFonts w:hint="eastAsia"/>
        </w:rPr>
        <w:t>职业病防治责任制度</w:t>
      </w:r>
    </w:p>
    <w:p w14:paraId="1082C6C5">
      <w:pPr>
        <w:rPr>
          <w:rFonts w:hint="eastAsia"/>
        </w:rPr>
      </w:pPr>
      <w:r>
        <w:rPr>
          <w:rFonts w:hint="eastAsia"/>
          <w:lang w:val="en-US" w:eastAsia="zh-CN"/>
        </w:rPr>
        <w:t>40.</w:t>
      </w:r>
      <w:r>
        <w:rPr>
          <w:rFonts w:hint="eastAsia"/>
        </w:rPr>
        <w:t>职业病危害警示、告知、宣传教育培训制度</w:t>
      </w:r>
    </w:p>
    <w:p w14:paraId="755EFD52">
      <w:pPr>
        <w:rPr>
          <w:rFonts w:hint="eastAsia"/>
        </w:rPr>
      </w:pPr>
      <w:r>
        <w:rPr>
          <w:rFonts w:hint="eastAsia"/>
          <w:lang w:val="en-US" w:eastAsia="zh-CN"/>
        </w:rPr>
        <w:t>41.</w:t>
      </w:r>
      <w:r>
        <w:rPr>
          <w:rFonts w:hint="eastAsia"/>
        </w:rPr>
        <w:t>职业病危害项目申报制度</w:t>
      </w:r>
    </w:p>
    <w:p w14:paraId="2EF2ED86">
      <w:pPr>
        <w:rPr>
          <w:rFonts w:hint="eastAsia"/>
        </w:rPr>
      </w:pPr>
      <w:r>
        <w:rPr>
          <w:rFonts w:hint="eastAsia"/>
          <w:lang w:val="en-US" w:eastAsia="zh-CN"/>
        </w:rPr>
        <w:t>42.</w:t>
      </w:r>
      <w:r>
        <w:rPr>
          <w:rFonts w:hint="eastAsia"/>
        </w:rPr>
        <w:t>职业病防护设施维护检修制度</w:t>
      </w:r>
    </w:p>
    <w:p w14:paraId="2CC1C9B7">
      <w:pPr>
        <w:rPr>
          <w:rFonts w:hint="eastAsia"/>
        </w:rPr>
      </w:pPr>
      <w:r>
        <w:rPr>
          <w:rFonts w:hint="eastAsia"/>
          <w:lang w:val="en-US" w:eastAsia="zh-CN"/>
        </w:rPr>
        <w:t>43.</w:t>
      </w:r>
      <w:r>
        <w:rPr>
          <w:rFonts w:hint="eastAsia"/>
        </w:rPr>
        <w:t>劳动防护用品管理制度</w:t>
      </w:r>
    </w:p>
    <w:p w14:paraId="095A5D72">
      <w:pPr>
        <w:rPr>
          <w:rFonts w:hint="eastAsia"/>
        </w:rPr>
      </w:pPr>
      <w:r>
        <w:rPr>
          <w:rFonts w:hint="eastAsia"/>
          <w:lang w:val="en-US" w:eastAsia="zh-CN"/>
        </w:rPr>
        <w:t>44.</w:t>
      </w:r>
      <w:r>
        <w:rPr>
          <w:rFonts w:hint="eastAsia"/>
        </w:rPr>
        <w:t>职业病危害监测及评价管理制度</w:t>
      </w:r>
    </w:p>
    <w:p w14:paraId="23478A6F">
      <w:pPr>
        <w:rPr>
          <w:rFonts w:hint="eastAsia"/>
        </w:rPr>
      </w:pPr>
      <w:r>
        <w:rPr>
          <w:rFonts w:hint="eastAsia"/>
          <w:lang w:val="en-US" w:eastAsia="zh-CN"/>
        </w:rPr>
        <w:t>45.</w:t>
      </w:r>
      <w:r>
        <w:rPr>
          <w:rFonts w:hint="eastAsia"/>
        </w:rPr>
        <w:t>建设项目职业卫生“三同时”管理制度</w:t>
      </w:r>
    </w:p>
    <w:p w14:paraId="0431E858">
      <w:pPr>
        <w:rPr>
          <w:rFonts w:hint="eastAsia"/>
        </w:rPr>
      </w:pPr>
      <w:r>
        <w:rPr>
          <w:rFonts w:hint="eastAsia"/>
          <w:lang w:val="en-US" w:eastAsia="zh-CN"/>
        </w:rPr>
        <w:t>46.</w:t>
      </w:r>
      <w:r>
        <w:rPr>
          <w:rFonts w:hint="eastAsia"/>
        </w:rPr>
        <w:t>劳动者职业健康监护及其档案管理制度</w:t>
      </w:r>
    </w:p>
    <w:p w14:paraId="3A4677F7">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加油站已经按照相关主管部门的要求，组织员工参加培训学习。</w:t>
      </w:r>
    </w:p>
    <w:p w14:paraId="17AFF1D6">
      <w:pPr>
        <w:pStyle w:val="4"/>
        <w:ind w:firstLine="562"/>
        <w:rPr>
          <w:color w:val="000000" w:themeColor="text1"/>
          <w14:textFill>
            <w14:solidFill>
              <w14:schemeClr w14:val="tx1"/>
            </w14:solidFill>
          </w14:textFill>
        </w:rPr>
      </w:pPr>
      <w:bookmarkStart w:id="179" w:name="_Toc24382"/>
      <w:bookmarkStart w:id="180" w:name="_Toc275268745"/>
      <w:bookmarkStart w:id="181" w:name="_Toc235587831"/>
      <w:bookmarkStart w:id="182" w:name="_Toc248220544"/>
      <w:bookmarkStart w:id="183" w:name="_Toc191728143"/>
      <w:bookmarkStart w:id="184" w:name="_Toc208398701"/>
      <w:bookmarkStart w:id="185" w:name="_Toc2345"/>
      <w:bookmarkStart w:id="186" w:name="_Toc191729703"/>
      <w:bookmarkStart w:id="187" w:name="_Toc191729999"/>
      <w:bookmarkStart w:id="188" w:name="_Toc194389907"/>
      <w:bookmarkStart w:id="189" w:name="_Toc236123695"/>
      <w:r>
        <w:rPr>
          <w:color w:val="000000" w:themeColor="text1"/>
          <w14:textFill>
            <w14:solidFill>
              <w14:schemeClr w14:val="tx1"/>
            </w14:solidFill>
          </w14:textFill>
        </w:rPr>
        <w:t>安全操作规程</w:t>
      </w:r>
      <w:bookmarkEnd w:id="179"/>
      <w:bookmarkEnd w:id="180"/>
      <w:bookmarkEnd w:id="181"/>
      <w:bookmarkEnd w:id="182"/>
      <w:bookmarkEnd w:id="183"/>
      <w:bookmarkEnd w:id="184"/>
      <w:bookmarkEnd w:id="185"/>
      <w:bookmarkEnd w:id="186"/>
      <w:bookmarkEnd w:id="187"/>
      <w:bookmarkEnd w:id="188"/>
      <w:bookmarkEnd w:id="189"/>
    </w:p>
    <w:p w14:paraId="0401F36F">
      <w:pPr>
        <w:rPr>
          <w:rFonts w:hint="eastAsia"/>
          <w:color w:val="000000"/>
        </w:rPr>
      </w:pPr>
      <w:bookmarkStart w:id="190" w:name="_Toc342511263"/>
      <w:bookmarkStart w:id="191" w:name="_Toc154069644"/>
      <w:bookmarkStart w:id="192" w:name="_Toc25131"/>
      <w:bookmarkStart w:id="193" w:name="_Toc248220545"/>
      <w:bookmarkStart w:id="194" w:name="_Toc235587832"/>
      <w:bookmarkStart w:id="195" w:name="_Toc275268746"/>
      <w:bookmarkStart w:id="196" w:name="_Toc236123696"/>
      <w:r>
        <w:rPr>
          <w:rFonts w:hint="eastAsia"/>
          <w:color w:val="000000"/>
          <w:lang w:val="en-US" w:eastAsia="zh-CN"/>
        </w:rPr>
        <w:t>1.</w:t>
      </w:r>
      <w:r>
        <w:rPr>
          <w:rFonts w:hint="eastAsia"/>
          <w:color w:val="000000"/>
        </w:rPr>
        <w:t>加油岗位安全操作规程</w:t>
      </w:r>
    </w:p>
    <w:p w14:paraId="004C6A8E">
      <w:pPr>
        <w:rPr>
          <w:rFonts w:hint="eastAsia"/>
          <w:color w:val="000000"/>
        </w:rPr>
      </w:pPr>
      <w:r>
        <w:rPr>
          <w:rFonts w:hint="eastAsia"/>
          <w:color w:val="000000"/>
          <w:lang w:val="en-US" w:eastAsia="zh-CN"/>
        </w:rPr>
        <w:t>2.</w:t>
      </w:r>
      <w:r>
        <w:rPr>
          <w:rFonts w:hint="eastAsia"/>
          <w:color w:val="000000"/>
        </w:rPr>
        <w:t>卸油岗位安全操作规程</w:t>
      </w:r>
    </w:p>
    <w:p w14:paraId="44381E3B">
      <w:pPr>
        <w:rPr>
          <w:rFonts w:hint="eastAsia"/>
          <w:color w:val="000000"/>
        </w:rPr>
      </w:pPr>
      <w:r>
        <w:rPr>
          <w:rFonts w:hint="eastAsia"/>
          <w:color w:val="000000"/>
          <w:lang w:val="en-US" w:eastAsia="zh-CN"/>
        </w:rPr>
        <w:t>3.</w:t>
      </w:r>
      <w:r>
        <w:rPr>
          <w:rFonts w:hint="eastAsia"/>
          <w:color w:val="000000"/>
        </w:rPr>
        <w:t>变配电室岗位安全操作规程</w:t>
      </w:r>
    </w:p>
    <w:p w14:paraId="7DFA1F33">
      <w:pPr>
        <w:rPr>
          <w:rFonts w:hint="eastAsia"/>
          <w:color w:val="000000"/>
        </w:rPr>
      </w:pPr>
      <w:r>
        <w:rPr>
          <w:rFonts w:hint="eastAsia"/>
          <w:color w:val="000000"/>
          <w:lang w:val="en-US" w:eastAsia="zh-CN"/>
        </w:rPr>
        <w:t>4.</w:t>
      </w:r>
      <w:r>
        <w:rPr>
          <w:rFonts w:hint="eastAsia"/>
          <w:color w:val="000000"/>
        </w:rPr>
        <w:t>发电机岗位安全操作规程</w:t>
      </w:r>
    </w:p>
    <w:p w14:paraId="5112B7E8">
      <w:pPr>
        <w:rPr>
          <w:rFonts w:hint="eastAsia"/>
          <w:color w:val="000000"/>
        </w:rPr>
      </w:pPr>
      <w:r>
        <w:rPr>
          <w:rFonts w:hint="eastAsia"/>
          <w:color w:val="000000"/>
          <w:lang w:val="en-US" w:eastAsia="zh-CN"/>
        </w:rPr>
        <w:t>5.</w:t>
      </w:r>
      <w:r>
        <w:rPr>
          <w:rFonts w:hint="eastAsia"/>
          <w:color w:val="000000"/>
        </w:rPr>
        <w:t>油罐清洗安全规程</w:t>
      </w:r>
    </w:p>
    <w:p w14:paraId="1E826035">
      <w:pPr>
        <w:rPr>
          <w:rFonts w:hint="eastAsia"/>
          <w:color w:val="000000"/>
        </w:rPr>
      </w:pPr>
      <w:r>
        <w:rPr>
          <w:rFonts w:hint="eastAsia"/>
          <w:color w:val="000000"/>
          <w:lang w:val="en-US" w:eastAsia="zh-CN"/>
        </w:rPr>
        <w:t>6.</w:t>
      </w:r>
      <w:r>
        <w:rPr>
          <w:rFonts w:hint="eastAsia"/>
          <w:color w:val="000000"/>
        </w:rPr>
        <w:t>检维修作业安全规程</w:t>
      </w:r>
    </w:p>
    <w:p w14:paraId="29E102EE">
      <w:pPr>
        <w:rPr>
          <w:rFonts w:hint="eastAsia"/>
          <w:color w:val="000000"/>
        </w:rPr>
      </w:pPr>
      <w:r>
        <w:rPr>
          <w:rFonts w:hint="eastAsia"/>
          <w:color w:val="000000"/>
          <w:lang w:val="en-US" w:eastAsia="zh-CN"/>
        </w:rPr>
        <w:t>7.</w:t>
      </w:r>
      <w:r>
        <w:rPr>
          <w:rFonts w:hint="eastAsia"/>
          <w:color w:val="000000"/>
        </w:rPr>
        <w:t>计量岗位安全操作规程</w:t>
      </w:r>
    </w:p>
    <w:p w14:paraId="23E2B5BD">
      <w:pPr>
        <w:rPr>
          <w:rFonts w:hint="eastAsia"/>
          <w:color w:val="000000"/>
        </w:rPr>
      </w:pPr>
      <w:r>
        <w:rPr>
          <w:rFonts w:hint="eastAsia"/>
          <w:color w:val="000000"/>
          <w:lang w:val="en-US" w:eastAsia="zh-CN"/>
        </w:rPr>
        <w:t>8.</w:t>
      </w:r>
      <w:r>
        <w:rPr>
          <w:rFonts w:hint="eastAsia"/>
          <w:color w:val="000000"/>
        </w:rPr>
        <w:t>收银岗位安全操作规程</w:t>
      </w:r>
    </w:p>
    <w:p w14:paraId="04EC7F17">
      <w:pPr>
        <w:rPr>
          <w:rFonts w:hint="eastAsia"/>
          <w:color w:val="000000"/>
        </w:rPr>
      </w:pPr>
      <w:r>
        <w:rPr>
          <w:rFonts w:hint="eastAsia"/>
          <w:color w:val="000000"/>
          <w:lang w:val="en-US" w:eastAsia="zh-CN"/>
        </w:rPr>
        <w:t>9.</w:t>
      </w:r>
      <w:r>
        <w:rPr>
          <w:rFonts w:hint="eastAsia"/>
          <w:color w:val="000000"/>
        </w:rPr>
        <w:t>特殊情况处理规程</w:t>
      </w:r>
    </w:p>
    <w:p w14:paraId="6F888235">
      <w:pPr>
        <w:pStyle w:val="4"/>
        <w:ind w:firstLine="560" w:firstLineChars="200"/>
        <w:rPr>
          <w:color w:val="000000" w:themeColor="text1"/>
          <w14:textFill>
            <w14:solidFill>
              <w14:schemeClr w14:val="tx1"/>
            </w14:solidFill>
          </w14:textFill>
        </w:rPr>
      </w:pPr>
      <w:bookmarkStart w:id="197" w:name="_Toc18869"/>
      <w:r>
        <w:rPr>
          <w:rFonts w:hint="eastAsia"/>
          <w:color w:val="000000" w:themeColor="text1"/>
          <w14:textFill>
            <w14:solidFill>
              <w14:schemeClr w14:val="tx1"/>
            </w14:solidFill>
          </w14:textFill>
        </w:rPr>
        <w:t>工作制度</w:t>
      </w:r>
      <w:bookmarkEnd w:id="190"/>
      <w:bookmarkEnd w:id="191"/>
      <w:bookmarkEnd w:id="192"/>
      <w:bookmarkEnd w:id="197"/>
    </w:p>
    <w:p w14:paraId="19317AA6">
      <w:pPr>
        <w:rPr>
          <w:color w:val="000000" w:themeColor="text1"/>
          <w14:textFill>
            <w14:solidFill>
              <w14:schemeClr w14:val="tx1"/>
            </w14:solidFill>
          </w14:textFill>
        </w:rPr>
      </w:pPr>
      <w:r>
        <w:rPr>
          <w:rFonts w:hint="eastAsia"/>
          <w:color w:val="000000" w:themeColor="text1"/>
          <w:lang w:val="en-GB" w:eastAsia="zh-CN"/>
          <w14:textFill>
            <w14:solidFill>
              <w14:schemeClr w14:val="tx1"/>
            </w14:solidFill>
          </w14:textFill>
        </w:rPr>
        <w:t>文山市星运能源有限公司</w:t>
      </w:r>
      <w:r>
        <w:rPr>
          <w:rFonts w:hint="eastAsia"/>
          <w:color w:val="000000" w:themeColor="text1"/>
          <w14:textFill>
            <w14:solidFill>
              <w14:schemeClr w14:val="tx1"/>
            </w14:solidFill>
          </w14:textFill>
        </w:rPr>
        <w:t>目前拥有员工</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人</w:t>
      </w:r>
      <w:r>
        <w:rPr>
          <w:rFonts w:hint="eastAsia"/>
          <w:color w:val="000000" w:themeColor="text1"/>
          <w:lang w:eastAsia="zh-CN"/>
          <w14:textFill>
            <w14:solidFill>
              <w14:schemeClr w14:val="tx1"/>
            </w14:solidFill>
          </w14:textFill>
        </w:rPr>
        <w:t>，</w:t>
      </w:r>
      <w:r>
        <w:rPr>
          <w:rFonts w:hint="eastAsia"/>
          <w:highlight w:val="none"/>
          <w:lang w:val="en-GB"/>
        </w:rPr>
        <w:t>实行</w:t>
      </w:r>
      <w:r>
        <w:rPr>
          <w:rFonts w:hint="eastAsia"/>
          <w:highlight w:val="none"/>
          <w:lang w:val="en-US" w:eastAsia="zh-CN"/>
        </w:rPr>
        <w:t>2</w:t>
      </w:r>
      <w:r>
        <w:rPr>
          <w:rFonts w:hint="eastAsia"/>
          <w:highlight w:val="none"/>
          <w:lang w:val="en-GB"/>
        </w:rPr>
        <w:t>班制</w:t>
      </w:r>
      <w:r>
        <w:rPr>
          <w:rFonts w:hint="eastAsia"/>
          <w:color w:val="000000" w:themeColor="text1"/>
          <w:lang w:val="en-GB"/>
          <w14:textFill>
            <w14:solidFill>
              <w14:schemeClr w14:val="tx1"/>
            </w14:solidFill>
          </w14:textFill>
        </w:rPr>
        <w:t>。</w:t>
      </w:r>
    </w:p>
    <w:p w14:paraId="517C3616">
      <w:pPr>
        <w:pStyle w:val="4"/>
        <w:ind w:firstLine="562"/>
        <w:rPr>
          <w:color w:val="000000" w:themeColor="text1"/>
          <w14:textFill>
            <w14:solidFill>
              <w14:schemeClr w14:val="tx1"/>
            </w14:solidFill>
          </w14:textFill>
        </w:rPr>
      </w:pPr>
      <w:bookmarkStart w:id="198" w:name="_Toc11544"/>
      <w:bookmarkStart w:id="199" w:name="_Toc22973"/>
      <w:r>
        <w:rPr>
          <w:rFonts w:hint="eastAsia"/>
          <w:color w:val="000000" w:themeColor="text1"/>
          <w14:textFill>
            <w14:solidFill>
              <w14:schemeClr w14:val="tx1"/>
            </w14:solidFill>
          </w14:textFill>
        </w:rPr>
        <w:t>安全管理台账</w:t>
      </w:r>
      <w:bookmarkEnd w:id="193"/>
      <w:bookmarkEnd w:id="194"/>
      <w:bookmarkEnd w:id="195"/>
      <w:bookmarkEnd w:id="196"/>
      <w:bookmarkEnd w:id="198"/>
      <w:bookmarkEnd w:id="199"/>
    </w:p>
    <w:p w14:paraId="236AB2D6">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安全管理台账</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劳动用品发放记录</w:t>
      </w:r>
      <w:r>
        <w:rPr>
          <w:color w:val="000000" w:themeColor="text1"/>
          <w14:textFill>
            <w14:solidFill>
              <w14:schemeClr w14:val="tx1"/>
            </w14:solidFill>
          </w14:textFill>
        </w:rPr>
        <w:t>、安全教育培训记录</w:t>
      </w:r>
      <w:r>
        <w:rPr>
          <w:rFonts w:hint="eastAsia"/>
          <w:color w:val="000000" w:themeColor="text1"/>
          <w14:textFill>
            <w14:solidFill>
              <w14:schemeClr w14:val="tx1"/>
            </w14:solidFill>
          </w14:textFill>
        </w:rPr>
        <w:t>、应急预案演练记录等</w:t>
      </w:r>
      <w:r>
        <w:rPr>
          <w:color w:val="000000" w:themeColor="text1"/>
          <w14:textFill>
            <w14:solidFill>
              <w14:schemeClr w14:val="tx1"/>
            </w14:solidFill>
          </w14:textFill>
        </w:rPr>
        <w:t>。</w:t>
      </w:r>
    </w:p>
    <w:p w14:paraId="20C4F122">
      <w:pPr>
        <w:pStyle w:val="4"/>
        <w:ind w:firstLine="562"/>
        <w:rPr>
          <w:color w:val="000000" w:themeColor="text1"/>
          <w14:textFill>
            <w14:solidFill>
              <w14:schemeClr w14:val="tx1"/>
            </w14:solidFill>
          </w14:textFill>
        </w:rPr>
      </w:pPr>
      <w:bookmarkStart w:id="200" w:name="_Toc27237"/>
      <w:bookmarkStart w:id="201" w:name="_Toc385497279"/>
      <w:bookmarkStart w:id="202" w:name="_Toc338"/>
      <w:bookmarkStart w:id="203" w:name="_Toc211394825"/>
      <w:bookmarkStart w:id="204" w:name="_Toc195176731"/>
      <w:r>
        <w:rPr>
          <w:rFonts w:hint="eastAsia"/>
          <w:color w:val="000000" w:themeColor="text1"/>
          <w14:textFill>
            <w14:solidFill>
              <w14:schemeClr w14:val="tx1"/>
            </w14:solidFill>
          </w14:textFill>
        </w:rPr>
        <w:t>人员培训情况</w:t>
      </w:r>
      <w:bookmarkEnd w:id="200"/>
      <w:bookmarkEnd w:id="201"/>
      <w:bookmarkEnd w:id="202"/>
    </w:p>
    <w:bookmarkEnd w:id="203"/>
    <w:bookmarkEnd w:id="204"/>
    <w:p w14:paraId="558D154E">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该站主要负责人</w:t>
      </w:r>
      <w:r>
        <w:rPr>
          <w:color w:val="000000" w:themeColor="text1"/>
          <w14:textFill>
            <w14:solidFill>
              <w14:schemeClr w14:val="tx1"/>
            </w14:solidFill>
          </w14:textFill>
        </w:rPr>
        <w:t>经过</w:t>
      </w:r>
      <w:r>
        <w:rPr>
          <w:rFonts w:hint="eastAsia"/>
          <w:color w:val="000000" w:themeColor="text1"/>
          <w14:textFill>
            <w14:solidFill>
              <w14:schemeClr w14:val="tx1"/>
            </w14:solidFill>
          </w14:textFill>
        </w:rPr>
        <w:t>相关</w:t>
      </w:r>
      <w:r>
        <w:rPr>
          <w:color w:val="000000" w:themeColor="text1"/>
          <w14:textFill>
            <w14:solidFill>
              <w14:schemeClr w14:val="tx1"/>
            </w14:solidFill>
          </w14:textFill>
        </w:rPr>
        <w:t>部门组织的安全培训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从业人员同时经过</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内部安全培训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加油站</w:t>
      </w:r>
      <w:r>
        <w:rPr>
          <w:rFonts w:hint="eastAsia"/>
          <w:color w:val="000000" w:themeColor="text1"/>
          <w14:textFill>
            <w14:solidFill>
              <w14:schemeClr w14:val="tx1"/>
            </w14:solidFill>
          </w14:textFill>
        </w:rPr>
        <w:t>持证人员</w:t>
      </w:r>
      <w:r>
        <w:rPr>
          <w:color w:val="000000" w:themeColor="text1"/>
          <w14:textFill>
            <w14:solidFill>
              <w14:schemeClr w14:val="tx1"/>
            </w14:solidFill>
          </w14:textFill>
        </w:rPr>
        <w:t>情况见表2-</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w:t>
      </w:r>
    </w:p>
    <w:p w14:paraId="1830F048">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表2-9 </w:t>
      </w:r>
      <w:r>
        <w:rPr>
          <w:color w:val="000000" w:themeColor="text1"/>
          <w14:textFill>
            <w14:solidFill>
              <w14:schemeClr w14:val="tx1"/>
            </w14:solidFill>
          </w14:textFill>
        </w:rPr>
        <w:t>加油站持证人员情况一览表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87"/>
        <w:gridCol w:w="1645"/>
        <w:gridCol w:w="2210"/>
        <w:gridCol w:w="2018"/>
        <w:gridCol w:w="1318"/>
      </w:tblGrid>
      <w:tr w14:paraId="7C334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14:paraId="2CE961A7">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姓名</w:t>
            </w:r>
          </w:p>
        </w:tc>
        <w:tc>
          <w:tcPr>
            <w:tcW w:w="887" w:type="dxa"/>
            <w:vAlign w:val="center"/>
          </w:tcPr>
          <w:p w14:paraId="0C7C9F98">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性别</w:t>
            </w:r>
          </w:p>
        </w:tc>
        <w:tc>
          <w:tcPr>
            <w:tcW w:w="1645" w:type="dxa"/>
            <w:vAlign w:val="center"/>
          </w:tcPr>
          <w:p w14:paraId="60024447">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职务或职称</w:t>
            </w:r>
          </w:p>
        </w:tc>
        <w:tc>
          <w:tcPr>
            <w:tcW w:w="2210" w:type="dxa"/>
            <w:vAlign w:val="center"/>
          </w:tcPr>
          <w:p w14:paraId="67DFC5D0">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证书编号</w:t>
            </w:r>
          </w:p>
        </w:tc>
        <w:tc>
          <w:tcPr>
            <w:tcW w:w="2018" w:type="dxa"/>
            <w:vAlign w:val="center"/>
          </w:tcPr>
          <w:p w14:paraId="4BFA2AD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发证机关</w:t>
            </w:r>
          </w:p>
        </w:tc>
        <w:tc>
          <w:tcPr>
            <w:tcW w:w="1318" w:type="dxa"/>
            <w:vAlign w:val="center"/>
          </w:tcPr>
          <w:p w14:paraId="5A7D4919">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有效期</w:t>
            </w:r>
          </w:p>
        </w:tc>
      </w:tr>
      <w:tr w14:paraId="5D40D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14:paraId="5031093D">
            <w:pPr>
              <w:pStyle w:val="7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庞瑞体</w:t>
            </w:r>
          </w:p>
        </w:tc>
        <w:tc>
          <w:tcPr>
            <w:tcW w:w="887" w:type="dxa"/>
            <w:vAlign w:val="center"/>
          </w:tcPr>
          <w:p w14:paraId="7C94288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男</w:t>
            </w:r>
          </w:p>
        </w:tc>
        <w:tc>
          <w:tcPr>
            <w:tcW w:w="1645" w:type="dxa"/>
            <w:vAlign w:val="center"/>
          </w:tcPr>
          <w:p w14:paraId="6EA80AA2">
            <w:pPr>
              <w:pStyle w:val="77"/>
              <w:rPr>
                <w:rFonts w:hint="eastAsia" w:eastAsia="宋体"/>
                <w:color w:val="000000" w:themeColor="text1"/>
                <w:lang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法定代表人</w:t>
            </w:r>
          </w:p>
        </w:tc>
        <w:tc>
          <w:tcPr>
            <w:tcW w:w="2210" w:type="dxa"/>
            <w:vAlign w:val="center"/>
          </w:tcPr>
          <w:p w14:paraId="3C92401A">
            <w:pPr>
              <w:pStyle w:val="77"/>
              <w:rPr>
                <w:color w:val="000000" w:themeColor="text1"/>
                <w14:textFill>
                  <w14:solidFill>
                    <w14:schemeClr w14:val="tx1"/>
                  </w14:solidFill>
                </w14:textFill>
              </w:rPr>
            </w:pPr>
            <w:r>
              <w:rPr>
                <w:rFonts w:hint="eastAsia"/>
              </w:rPr>
              <w:t>532621198904150914</w:t>
            </w:r>
          </w:p>
        </w:tc>
        <w:tc>
          <w:tcPr>
            <w:tcW w:w="2018" w:type="dxa"/>
            <w:vAlign w:val="center"/>
          </w:tcPr>
          <w:p w14:paraId="2F86472E">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文山州</w:t>
            </w:r>
            <w:r>
              <w:rPr>
                <w:rFonts w:hint="eastAsia"/>
                <w:color w:val="000000" w:themeColor="text1"/>
                <w14:textFill>
                  <w14:solidFill>
                    <w14:schemeClr w14:val="tx1"/>
                  </w14:solidFill>
                </w14:textFill>
              </w:rPr>
              <w:t>应急管理局</w:t>
            </w:r>
          </w:p>
        </w:tc>
        <w:tc>
          <w:tcPr>
            <w:tcW w:w="1318" w:type="dxa"/>
            <w:vAlign w:val="center"/>
          </w:tcPr>
          <w:p w14:paraId="6DCE8E0A">
            <w:pPr>
              <w:pStyle w:val="77"/>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7.01.02</w:t>
            </w:r>
          </w:p>
        </w:tc>
      </w:tr>
      <w:tr w14:paraId="683E9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14:paraId="0F89D294">
            <w:pPr>
              <w:pStyle w:val="77"/>
              <w:rPr>
                <w:rFonts w:hint="eastAsia" w:eastAsia="宋体"/>
                <w:color w:val="000000" w:themeColor="text1"/>
                <w:lang w:eastAsia="zh-CN"/>
                <w14:textFill>
                  <w14:solidFill>
                    <w14:schemeClr w14:val="tx1"/>
                  </w14:solidFill>
                </w14:textFill>
              </w:rPr>
            </w:pPr>
            <w:bookmarkStart w:id="205" w:name="_Toc19637"/>
            <w:bookmarkStart w:id="206" w:name="_Toc194389908"/>
            <w:bookmarkStart w:id="207" w:name="_Toc275268747"/>
            <w:bookmarkStart w:id="208" w:name="_Toc235587833"/>
            <w:bookmarkStart w:id="209" w:name="_Toc248220546"/>
            <w:bookmarkStart w:id="210" w:name="_Toc208398702"/>
            <w:bookmarkStart w:id="211" w:name="_Toc236123697"/>
            <w:r>
              <w:rPr>
                <w:rFonts w:hint="eastAsia"/>
                <w:color w:val="000000" w:themeColor="text1"/>
                <w:lang w:val="en-US" w:eastAsia="zh-CN"/>
                <w14:textFill>
                  <w14:solidFill>
                    <w14:schemeClr w14:val="tx1"/>
                  </w14:solidFill>
                </w14:textFill>
              </w:rPr>
              <w:t>李红</w:t>
            </w:r>
          </w:p>
        </w:tc>
        <w:tc>
          <w:tcPr>
            <w:tcW w:w="887" w:type="dxa"/>
            <w:vAlign w:val="center"/>
          </w:tcPr>
          <w:p w14:paraId="24E3A456">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女</w:t>
            </w:r>
          </w:p>
        </w:tc>
        <w:tc>
          <w:tcPr>
            <w:tcW w:w="1645" w:type="dxa"/>
            <w:vAlign w:val="center"/>
          </w:tcPr>
          <w:p w14:paraId="3108BA85">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安全员</w:t>
            </w:r>
          </w:p>
        </w:tc>
        <w:tc>
          <w:tcPr>
            <w:tcW w:w="2210" w:type="dxa"/>
            <w:vAlign w:val="center"/>
          </w:tcPr>
          <w:p w14:paraId="6CACAF41">
            <w:pPr>
              <w:pStyle w:val="77"/>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350322199</w:t>
            </w:r>
            <w:r>
              <w:rPr>
                <w:rFonts w:hint="eastAsia"/>
                <w:color w:val="000000" w:themeColor="text1"/>
                <w:lang w:val="en-US" w:eastAsia="zh-CN"/>
                <w14:textFill>
                  <w14:solidFill>
                    <w14:schemeClr w14:val="tx1"/>
                  </w14:solidFill>
                </w14:textFill>
              </w:rPr>
              <w:t>908240828</w:t>
            </w:r>
          </w:p>
        </w:tc>
        <w:tc>
          <w:tcPr>
            <w:tcW w:w="2018" w:type="dxa"/>
            <w:vAlign w:val="center"/>
          </w:tcPr>
          <w:p w14:paraId="17412CE3">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文山州应急管理局</w:t>
            </w:r>
          </w:p>
        </w:tc>
        <w:tc>
          <w:tcPr>
            <w:tcW w:w="1318" w:type="dxa"/>
            <w:vAlign w:val="center"/>
          </w:tcPr>
          <w:p w14:paraId="5DBFE47C">
            <w:pPr>
              <w:pStyle w:val="77"/>
              <w:ind w:firstLine="0" w:firstLineChars="0"/>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6.07.03</w:t>
            </w:r>
          </w:p>
        </w:tc>
      </w:tr>
    </w:tbl>
    <w:p w14:paraId="18026696">
      <w:pPr>
        <w:pStyle w:val="4"/>
        <w:ind w:firstLine="562"/>
        <w:rPr>
          <w:color w:val="000000" w:themeColor="text1"/>
          <w14:textFill>
            <w14:solidFill>
              <w14:schemeClr w14:val="tx1"/>
            </w14:solidFill>
          </w14:textFill>
        </w:rPr>
      </w:pPr>
      <w:bookmarkStart w:id="212" w:name="_Toc23929"/>
      <w:r>
        <w:rPr>
          <w:color w:val="000000" w:themeColor="text1"/>
          <w14:textFill>
            <w14:solidFill>
              <w14:schemeClr w14:val="tx1"/>
            </w14:solidFill>
          </w14:textFill>
        </w:rPr>
        <w:t>从业人员保险</w:t>
      </w:r>
      <w:bookmarkEnd w:id="205"/>
      <w:bookmarkEnd w:id="212"/>
    </w:p>
    <w:p w14:paraId="76B918B7">
      <w:pPr>
        <w:rPr>
          <w:color w:val="000000" w:themeColor="text1"/>
          <w:lang w:val="zh-CN"/>
          <w14:textFill>
            <w14:solidFill>
              <w14:schemeClr w14:val="tx1"/>
            </w14:solidFill>
          </w14:textFill>
        </w:rPr>
      </w:pPr>
      <w:r>
        <w:rPr>
          <w:rFonts w:hint="eastAsia"/>
          <w:color w:val="000000" w:themeColor="text1"/>
          <w:lang w:eastAsia="zh-CN"/>
          <w14:textFill>
            <w14:solidFill>
              <w14:schemeClr w14:val="tx1"/>
            </w14:solidFill>
          </w14:textFill>
        </w:rPr>
        <w:t>文山市星运能源有限公司</w:t>
      </w:r>
      <w:r>
        <w:rPr>
          <w:color w:val="000000" w:themeColor="text1"/>
          <w:lang w:val="zh-CN"/>
          <w14:textFill>
            <w14:solidFill>
              <w14:schemeClr w14:val="tx1"/>
            </w14:solidFill>
          </w14:textFill>
        </w:rPr>
        <w:t>为从业人员购</w:t>
      </w:r>
      <w:r>
        <w:rPr>
          <w:rFonts w:hint="eastAsia"/>
          <w:color w:val="000000" w:themeColor="text1"/>
          <w14:textFill>
            <w14:solidFill>
              <w14:schemeClr w14:val="tx1"/>
            </w14:solidFill>
          </w14:textFill>
        </w:rPr>
        <w:t>买了</w:t>
      </w:r>
      <w:r>
        <w:rPr>
          <w:rFonts w:hint="eastAsia"/>
          <w:color w:val="000000" w:themeColor="text1"/>
          <w:lang w:val="en-US" w:eastAsia="zh-CN"/>
          <w14:textFill>
            <w14:solidFill>
              <w14:schemeClr w14:val="tx1"/>
            </w14:solidFill>
          </w14:textFill>
        </w:rPr>
        <w:t>安全生产责任保险，但未提供工伤保险</w:t>
      </w:r>
      <w:r>
        <w:rPr>
          <w:rFonts w:hint="eastAsia"/>
          <w:color w:val="000000" w:themeColor="text1"/>
          <w14:textFill>
            <w14:solidFill>
              <w14:schemeClr w14:val="tx1"/>
            </w14:solidFill>
          </w14:textFill>
        </w:rPr>
        <w:t>，详见附件</w:t>
      </w:r>
      <w:r>
        <w:rPr>
          <w:color w:val="000000" w:themeColor="text1"/>
          <w:lang w:val="zh-CN"/>
          <w14:textFill>
            <w14:solidFill>
              <w14:schemeClr w14:val="tx1"/>
            </w14:solidFill>
          </w14:textFill>
        </w:rPr>
        <w:t>。</w:t>
      </w:r>
    </w:p>
    <w:p w14:paraId="1412B9E6">
      <w:pPr>
        <w:pStyle w:val="4"/>
        <w:ind w:firstLine="562"/>
        <w:rPr>
          <w:color w:val="000000" w:themeColor="text1"/>
          <w14:textFill>
            <w14:solidFill>
              <w14:schemeClr w14:val="tx1"/>
            </w14:solidFill>
          </w14:textFill>
        </w:rPr>
      </w:pPr>
      <w:bookmarkStart w:id="213" w:name="_Toc14793"/>
      <w:bookmarkStart w:id="214" w:name="_Toc638"/>
      <w:r>
        <w:rPr>
          <w:color w:val="000000" w:themeColor="text1"/>
          <w14:textFill>
            <w14:solidFill>
              <w14:schemeClr w14:val="tx1"/>
            </w14:solidFill>
          </w14:textFill>
        </w:rPr>
        <w:t>安全投入情况</w:t>
      </w:r>
      <w:bookmarkEnd w:id="213"/>
      <w:bookmarkEnd w:id="214"/>
    </w:p>
    <w:p w14:paraId="0FA58550">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文山市星运能源有限公司</w:t>
      </w:r>
      <w:r>
        <w:rPr>
          <w:color w:val="000000" w:themeColor="text1"/>
          <w14:textFill>
            <w14:solidFill>
              <w14:schemeClr w14:val="tx1"/>
            </w14:solidFill>
          </w14:textFill>
        </w:rPr>
        <w:t>固定投入安全专项资金</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2024年1月</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6月投入约2万元</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，主要用于加油站消防设施保养及维护、从业人员劳保用品的购买、防雷防静电设施及站内其他安全设施保养维护等</w:t>
      </w:r>
      <w:r>
        <w:rPr>
          <w:rFonts w:hint="eastAsia"/>
          <w:color w:val="000000" w:themeColor="text1"/>
          <w14:textFill>
            <w14:solidFill>
              <w14:schemeClr w14:val="tx1"/>
            </w14:solidFill>
          </w14:textFill>
        </w:rPr>
        <w:t>。</w:t>
      </w:r>
    </w:p>
    <w:bookmarkEnd w:id="206"/>
    <w:bookmarkEnd w:id="207"/>
    <w:bookmarkEnd w:id="208"/>
    <w:bookmarkEnd w:id="209"/>
    <w:bookmarkEnd w:id="210"/>
    <w:bookmarkEnd w:id="211"/>
    <w:p w14:paraId="4D36FFC2">
      <w:pPr>
        <w:pStyle w:val="3"/>
        <w:rPr>
          <w:color w:val="000000" w:themeColor="text1"/>
          <w14:textFill>
            <w14:solidFill>
              <w14:schemeClr w14:val="tx1"/>
            </w14:solidFill>
          </w14:textFill>
        </w:rPr>
      </w:pPr>
      <w:bookmarkStart w:id="215" w:name="_Toc20078"/>
      <w:bookmarkStart w:id="216" w:name="_Toc387163401"/>
      <w:bookmarkStart w:id="217" w:name="_Toc4205"/>
      <w:bookmarkStart w:id="218" w:name="_Toc236123698"/>
      <w:bookmarkStart w:id="219" w:name="_Toc275268748"/>
      <w:bookmarkStart w:id="220" w:name="_Toc248220547"/>
      <w:bookmarkStart w:id="221" w:name="_Toc235587834"/>
      <w:r>
        <w:rPr>
          <w:color w:val="000000" w:themeColor="text1"/>
          <w14:textFill>
            <w14:solidFill>
              <w14:schemeClr w14:val="tx1"/>
            </w14:solidFill>
          </w14:textFill>
        </w:rPr>
        <w:t>应急管理</w:t>
      </w:r>
      <w:bookmarkEnd w:id="215"/>
      <w:bookmarkEnd w:id="216"/>
      <w:bookmarkEnd w:id="217"/>
    </w:p>
    <w:p w14:paraId="4896F508">
      <w:pPr>
        <w:pStyle w:val="4"/>
        <w:ind w:firstLine="562"/>
        <w:rPr>
          <w:color w:val="000000" w:themeColor="text1"/>
          <w14:textFill>
            <w14:solidFill>
              <w14:schemeClr w14:val="tx1"/>
            </w14:solidFill>
          </w14:textFill>
        </w:rPr>
      </w:pPr>
      <w:bookmarkStart w:id="222" w:name="_Toc13146"/>
      <w:bookmarkStart w:id="223" w:name="_Toc237319984"/>
      <w:bookmarkStart w:id="224" w:name="_Toc29968"/>
      <w:r>
        <w:rPr>
          <w:color w:val="000000" w:themeColor="text1"/>
          <w14:textFill>
            <w14:solidFill>
              <w14:schemeClr w14:val="tx1"/>
            </w14:solidFill>
          </w14:textFill>
        </w:rPr>
        <w:t>应急预案</w:t>
      </w:r>
      <w:bookmarkEnd w:id="222"/>
      <w:bookmarkEnd w:id="223"/>
      <w:bookmarkEnd w:id="224"/>
    </w:p>
    <w:p w14:paraId="7237A6BC">
      <w:pPr>
        <w:widowControl/>
        <w:snapToGrid/>
        <w:jc w:val="left"/>
        <w:rPr>
          <w:color w:val="000000" w:themeColor="text1"/>
          <w:kern w:val="0"/>
          <w:szCs w:val="28"/>
          <w14:textFill>
            <w14:solidFill>
              <w14:schemeClr w14:val="tx1"/>
            </w14:solidFill>
          </w14:textFill>
        </w:rPr>
      </w:pPr>
      <w:bookmarkStart w:id="225" w:name="_Toc237319985"/>
      <w:r>
        <w:rPr>
          <w:rFonts w:hint="eastAsia"/>
          <w:color w:val="000000" w:themeColor="text1"/>
          <w:kern w:val="0"/>
          <w:szCs w:val="28"/>
          <w:lang w:eastAsia="zh-CN"/>
          <w14:textFill>
            <w14:solidFill>
              <w14:schemeClr w14:val="tx1"/>
            </w14:solidFill>
          </w14:textFill>
        </w:rPr>
        <w:t>文山市星运能源有限公司</w:t>
      </w:r>
      <w:r>
        <w:rPr>
          <w:rFonts w:hint="eastAsia"/>
          <w:color w:val="000000" w:themeColor="text1"/>
          <w:kern w:val="0"/>
          <w:szCs w:val="28"/>
          <w14:textFill>
            <w14:solidFill>
              <w14:schemeClr w14:val="tx1"/>
            </w14:solidFill>
          </w14:textFill>
        </w:rPr>
        <w:t>编制</w:t>
      </w:r>
      <w:r>
        <w:rPr>
          <w:color w:val="000000" w:themeColor="text1"/>
          <w:kern w:val="0"/>
          <w:szCs w:val="28"/>
          <w14:textFill>
            <w14:solidFill>
              <w14:schemeClr w14:val="tx1"/>
            </w14:solidFill>
          </w14:textFill>
        </w:rPr>
        <w:t>了</w:t>
      </w:r>
      <w:r>
        <w:rPr>
          <w:rFonts w:hint="eastAsia"/>
          <w:color w:val="000000" w:themeColor="text1"/>
          <w:kern w:val="0"/>
          <w:szCs w:val="28"/>
          <w14:textFill>
            <w14:solidFill>
              <w14:schemeClr w14:val="tx1"/>
            </w14:solidFill>
          </w14:textFill>
        </w:rPr>
        <w:t>《</w:t>
      </w:r>
      <w:r>
        <w:rPr>
          <w:rFonts w:hint="eastAsia"/>
          <w:color w:val="000000" w:themeColor="text1"/>
          <w:kern w:val="0"/>
          <w:szCs w:val="28"/>
          <w:lang w:eastAsia="zh-CN"/>
          <w14:textFill>
            <w14:solidFill>
              <w14:schemeClr w14:val="tx1"/>
            </w14:solidFill>
          </w14:textFill>
        </w:rPr>
        <w:t>文山市星运能源有限公司生产安全事故应急预</w:t>
      </w:r>
      <w:r>
        <w:rPr>
          <w:color w:val="000000" w:themeColor="text1"/>
          <w:kern w:val="0"/>
          <w:szCs w:val="28"/>
          <w14:textFill>
            <w14:solidFill>
              <w14:schemeClr w14:val="tx1"/>
            </w14:solidFill>
          </w14:textFill>
        </w:rPr>
        <w:t>案》</w:t>
      </w:r>
      <w:r>
        <w:rPr>
          <w:rFonts w:hint="eastAsia"/>
          <w:color w:val="000000" w:themeColor="text1"/>
          <w:kern w:val="0"/>
          <w:szCs w:val="28"/>
          <w14:textFill>
            <w14:solidFill>
              <w14:schemeClr w14:val="tx1"/>
            </w14:solidFill>
          </w14:textFill>
        </w:rPr>
        <w:t>，于202</w:t>
      </w:r>
      <w:r>
        <w:rPr>
          <w:rFonts w:hint="eastAsia"/>
          <w:color w:val="000000" w:themeColor="text1"/>
          <w:kern w:val="0"/>
          <w:szCs w:val="28"/>
          <w:lang w:val="en-US" w:eastAsia="zh-CN"/>
          <w14:textFill>
            <w14:solidFill>
              <w14:schemeClr w14:val="tx1"/>
            </w14:solidFill>
          </w14:textFill>
        </w:rPr>
        <w:t>4</w:t>
      </w:r>
      <w:r>
        <w:rPr>
          <w:color w:val="000000" w:themeColor="text1"/>
          <w:kern w:val="0"/>
          <w:szCs w:val="28"/>
          <w14:textFill>
            <w14:solidFill>
              <w14:schemeClr w14:val="tx1"/>
            </w14:solidFill>
          </w14:textFill>
        </w:rPr>
        <w:t>年</w:t>
      </w:r>
      <w:r>
        <w:rPr>
          <w:rFonts w:hint="eastAsia"/>
          <w:color w:val="000000" w:themeColor="text1"/>
          <w:kern w:val="0"/>
          <w:szCs w:val="28"/>
          <w:lang w:val="en-US" w:eastAsia="zh-CN"/>
          <w14:textFill>
            <w14:solidFill>
              <w14:schemeClr w14:val="tx1"/>
            </w14:solidFill>
          </w14:textFill>
        </w:rPr>
        <w:t>09</w:t>
      </w:r>
      <w:r>
        <w:rPr>
          <w:rFonts w:hint="eastAsia"/>
          <w:color w:val="000000" w:themeColor="text1"/>
          <w:kern w:val="0"/>
          <w:szCs w:val="28"/>
          <w14:textFill>
            <w14:solidFill>
              <w14:schemeClr w14:val="tx1"/>
            </w14:solidFill>
          </w14:textFill>
        </w:rPr>
        <w:t>月</w:t>
      </w:r>
      <w:r>
        <w:rPr>
          <w:rFonts w:hint="eastAsia"/>
          <w:color w:val="000000" w:themeColor="text1"/>
          <w:kern w:val="0"/>
          <w:szCs w:val="28"/>
          <w:lang w:val="en-US" w:eastAsia="zh-CN"/>
          <w14:textFill>
            <w14:solidFill>
              <w14:schemeClr w14:val="tx1"/>
            </w14:solidFill>
          </w14:textFill>
        </w:rPr>
        <w:t>18</w:t>
      </w:r>
      <w:r>
        <w:rPr>
          <w:rFonts w:hint="eastAsia"/>
          <w:color w:val="000000" w:themeColor="text1"/>
          <w:kern w:val="0"/>
          <w:szCs w:val="28"/>
          <w14:textFill>
            <w14:solidFill>
              <w14:schemeClr w14:val="tx1"/>
            </w14:solidFill>
          </w14:textFill>
        </w:rPr>
        <w:t>日到</w:t>
      </w:r>
      <w:r>
        <w:rPr>
          <w:rFonts w:hint="eastAsia"/>
          <w:color w:val="000000" w:themeColor="text1"/>
          <w:kern w:val="0"/>
          <w:szCs w:val="28"/>
          <w:lang w:val="en-US" w:eastAsia="zh-CN"/>
          <w14:textFill>
            <w14:solidFill>
              <w14:schemeClr w14:val="tx1"/>
            </w14:solidFill>
          </w14:textFill>
        </w:rPr>
        <w:t>文山市</w:t>
      </w:r>
      <w:r>
        <w:rPr>
          <w:rFonts w:hint="eastAsia"/>
          <w:color w:val="000000" w:themeColor="text1"/>
          <w:kern w:val="0"/>
          <w:szCs w:val="28"/>
          <w14:textFill>
            <w14:solidFill>
              <w14:schemeClr w14:val="tx1"/>
            </w14:solidFill>
          </w14:textFill>
        </w:rPr>
        <w:t>应急管理局完成备案，备案编号：532621-2024-</w:t>
      </w:r>
      <w:r>
        <w:rPr>
          <w:rFonts w:hint="eastAsia"/>
          <w:color w:val="000000" w:themeColor="text1"/>
          <w:kern w:val="0"/>
          <w:szCs w:val="28"/>
          <w:lang w:val="en-US" w:eastAsia="zh-CN"/>
          <w14:textFill>
            <w14:solidFill>
              <w14:schemeClr w14:val="tx1"/>
            </w14:solidFill>
          </w14:textFill>
        </w:rPr>
        <w:t>141</w:t>
      </w:r>
      <w:r>
        <w:rPr>
          <w:rFonts w:hint="eastAsia"/>
          <w:color w:val="000000" w:themeColor="text1"/>
          <w:kern w:val="0"/>
          <w:szCs w:val="28"/>
          <w14:textFill>
            <w14:solidFill>
              <w14:schemeClr w14:val="tx1"/>
            </w14:solidFill>
          </w14:textFill>
        </w:rPr>
        <w:t>。</w:t>
      </w:r>
    </w:p>
    <w:p w14:paraId="42733C76">
      <w:pPr>
        <w:pStyle w:val="4"/>
        <w:ind w:firstLine="562"/>
        <w:rPr>
          <w:color w:val="000000" w:themeColor="text1"/>
          <w14:textFill>
            <w14:solidFill>
              <w14:schemeClr w14:val="tx1"/>
            </w14:solidFill>
          </w14:textFill>
        </w:rPr>
      </w:pPr>
      <w:bookmarkStart w:id="226" w:name="_Toc22873"/>
      <w:bookmarkStart w:id="227" w:name="_Toc10988"/>
      <w:r>
        <w:rPr>
          <w:color w:val="000000" w:themeColor="text1"/>
          <w14:textFill>
            <w14:solidFill>
              <w14:schemeClr w14:val="tx1"/>
            </w14:solidFill>
          </w14:textFill>
        </w:rPr>
        <w:t>应急救援组织</w:t>
      </w:r>
      <w:bookmarkEnd w:id="225"/>
      <w:bookmarkEnd w:id="226"/>
      <w:bookmarkEnd w:id="227"/>
    </w:p>
    <w:p w14:paraId="37BAE55F">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为及时处理加油站可能出现的事故</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加油站成立了相应的事故应急领导小组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组长为加油站</w:t>
      </w:r>
      <w:r>
        <w:rPr>
          <w:rFonts w:hint="eastAsia"/>
          <w:color w:val="000000" w:themeColor="text1"/>
          <w:lang w:val="zh-CN"/>
          <w14:textFill>
            <w14:solidFill>
              <w14:schemeClr w14:val="tx1"/>
            </w14:solidFill>
          </w14:textFill>
        </w:rPr>
        <w:t>负责人，</w:t>
      </w:r>
      <w:r>
        <w:rPr>
          <w:color w:val="000000" w:themeColor="text1"/>
          <w:lang w:val="zh-CN"/>
          <w14:textFill>
            <w14:solidFill>
              <w14:schemeClr w14:val="tx1"/>
            </w14:solidFill>
          </w14:textFill>
        </w:rPr>
        <w:t>副组长为加油站</w:t>
      </w:r>
      <w:r>
        <w:rPr>
          <w:rFonts w:hint="eastAsia"/>
          <w:color w:val="000000" w:themeColor="text1"/>
          <w:lang w:val="en-US" w:eastAsia="zh-CN"/>
          <w14:textFill>
            <w14:solidFill>
              <w14:schemeClr w14:val="tx1"/>
            </w14:solidFill>
          </w14:textFill>
        </w:rPr>
        <w:t>安全员</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由组长指挥进行事故处理。</w:t>
      </w:r>
    </w:p>
    <w:p w14:paraId="29A02629">
      <w:pPr>
        <w:pStyle w:val="4"/>
        <w:ind w:firstLine="562"/>
        <w:rPr>
          <w:color w:val="000000" w:themeColor="text1"/>
          <w14:textFill>
            <w14:solidFill>
              <w14:schemeClr w14:val="tx1"/>
            </w14:solidFill>
          </w14:textFill>
        </w:rPr>
      </w:pPr>
      <w:bookmarkStart w:id="228" w:name="_Toc17857"/>
      <w:bookmarkStart w:id="229" w:name="_Toc7223"/>
      <w:bookmarkStart w:id="230" w:name="_Toc237319986"/>
      <w:r>
        <w:rPr>
          <w:color w:val="000000" w:themeColor="text1"/>
          <w14:textFill>
            <w14:solidFill>
              <w14:schemeClr w14:val="tx1"/>
            </w14:solidFill>
          </w14:textFill>
        </w:rPr>
        <w:t>器材配备</w:t>
      </w:r>
      <w:bookmarkEnd w:id="228"/>
      <w:bookmarkEnd w:id="229"/>
      <w:bookmarkEnd w:id="230"/>
    </w:p>
    <w:p w14:paraId="7515E318">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根据加油站可能出现的事故类型</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加油站在现场配置了相应的救援器材</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主要有灭火器、灭火毯、消防桶、消防铲、消防</w:t>
      </w:r>
      <w:r>
        <w:rPr>
          <w:rFonts w:hint="eastAsia"/>
          <w:color w:val="000000" w:themeColor="text1"/>
          <w14:textFill>
            <w14:solidFill>
              <w14:schemeClr w14:val="tx1"/>
            </w14:solidFill>
          </w14:textFill>
        </w:rPr>
        <w:t>沙</w:t>
      </w:r>
      <w:r>
        <w:rPr>
          <w:color w:val="000000" w:themeColor="text1"/>
          <w:lang w:val="zh-CN"/>
          <w14:textFill>
            <w14:solidFill>
              <w14:schemeClr w14:val="tx1"/>
            </w14:solidFill>
          </w14:textFill>
        </w:rPr>
        <w:t>等。</w:t>
      </w:r>
    </w:p>
    <w:p w14:paraId="4D747238">
      <w:pPr>
        <w:pStyle w:val="4"/>
        <w:ind w:firstLine="562"/>
        <w:rPr>
          <w:color w:val="000000" w:themeColor="text1"/>
          <w14:textFill>
            <w14:solidFill>
              <w14:schemeClr w14:val="tx1"/>
            </w14:solidFill>
          </w14:textFill>
        </w:rPr>
      </w:pPr>
      <w:bookmarkStart w:id="231" w:name="_Toc237319987"/>
      <w:bookmarkStart w:id="232" w:name="_Toc20856"/>
      <w:bookmarkStart w:id="233" w:name="_Toc21242"/>
      <w:r>
        <w:rPr>
          <w:color w:val="000000" w:themeColor="text1"/>
          <w14:textFill>
            <w14:solidFill>
              <w14:schemeClr w14:val="tx1"/>
            </w14:solidFill>
          </w14:textFill>
        </w:rPr>
        <w:t>演练情况</w:t>
      </w:r>
      <w:bookmarkEnd w:id="231"/>
      <w:bookmarkEnd w:id="232"/>
      <w:bookmarkEnd w:id="233"/>
    </w:p>
    <w:p w14:paraId="1A63D8FA">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文山市星运能源有限公司按《生产安全事故应急条例》（国务</w:t>
      </w:r>
      <w:r>
        <w:rPr>
          <w:rFonts w:hint="eastAsia"/>
          <w:color w:val="000000" w:themeColor="text1"/>
          <w14:textFill>
            <w14:solidFill>
              <w14:schemeClr w14:val="tx1"/>
            </w14:solidFill>
          </w14:textFill>
        </w:rPr>
        <w:t>院</w:t>
      </w:r>
      <w:r>
        <w:rPr>
          <w:rFonts w:hint="eastAsia"/>
          <w:color w:val="000000" w:themeColor="text1"/>
          <w:lang w:val="zh-CN"/>
          <w14:textFill>
            <w14:solidFill>
              <w14:schemeClr w14:val="tx1"/>
            </w14:solidFill>
          </w14:textFill>
        </w:rPr>
        <w:t>令第</w:t>
      </w:r>
      <w:r>
        <w:rPr>
          <w:rFonts w:hint="eastAsia"/>
          <w:color w:val="000000" w:themeColor="text1"/>
          <w14:textFill>
            <w14:solidFill>
              <w14:schemeClr w14:val="tx1"/>
            </w14:solidFill>
          </w14:textFill>
        </w:rPr>
        <w:t>708号</w:t>
      </w:r>
      <w:r>
        <w:rPr>
          <w:rFonts w:hint="eastAsia"/>
          <w:color w:val="000000" w:themeColor="text1"/>
          <w:lang w:val="zh-CN"/>
          <w14:textFill>
            <w14:solidFill>
              <w14:schemeClr w14:val="tx1"/>
            </w14:solidFill>
          </w14:textFill>
        </w:rPr>
        <w:t>）及《生产安全事故应急预案管理办法》的规定和要求，定期组织相关人员进行了加油站事故应急预案培训和演练，</w:t>
      </w:r>
      <w:r>
        <w:rPr>
          <w:rFonts w:hint="eastAsia"/>
          <w:color w:val="000000" w:themeColor="text1"/>
          <w14:textFill>
            <w14:solidFill>
              <w14:schemeClr w14:val="tx1"/>
            </w14:solidFill>
          </w14:textFill>
        </w:rPr>
        <w:t>演练记录详见附件</w:t>
      </w:r>
      <w:r>
        <w:rPr>
          <w:rFonts w:hint="eastAsia"/>
          <w:color w:val="000000" w:themeColor="text1"/>
          <w:lang w:val="zh-CN"/>
          <w14:textFill>
            <w14:solidFill>
              <w14:schemeClr w14:val="tx1"/>
            </w14:solidFill>
          </w14:textFill>
        </w:rPr>
        <w:t>。</w:t>
      </w:r>
    </w:p>
    <w:p w14:paraId="7709C0DE">
      <w:pPr>
        <w:pStyle w:val="3"/>
        <w:rPr>
          <w:color w:val="000000" w:themeColor="text1"/>
          <w14:textFill>
            <w14:solidFill>
              <w14:schemeClr w14:val="tx1"/>
            </w14:solidFill>
          </w14:textFill>
        </w:rPr>
      </w:pPr>
      <w:bookmarkStart w:id="234" w:name="_Toc8120"/>
      <w:bookmarkStart w:id="235" w:name="_Toc8917"/>
      <w:r>
        <w:rPr>
          <w:rFonts w:hint="eastAsia"/>
          <w:color w:val="000000" w:themeColor="text1"/>
          <w14:textFill>
            <w14:solidFill>
              <w14:schemeClr w14:val="tx1"/>
            </w14:solidFill>
          </w14:textFill>
        </w:rPr>
        <w:t>安全生产标准化情况</w:t>
      </w:r>
      <w:bookmarkEnd w:id="234"/>
      <w:bookmarkEnd w:id="235"/>
    </w:p>
    <w:p w14:paraId="475C4BC5">
      <w:pPr>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该加油站于202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月取得安全生产标准化证书（三级），有效期为202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月至202</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加油站按照安全生产标准运行要求，每年开展自评工作</w:t>
      </w:r>
      <w:r>
        <w:rPr>
          <w:rFonts w:hint="eastAsia"/>
          <w:color w:val="000000" w:themeColor="text1"/>
          <w14:textFill>
            <w14:solidFill>
              <w14:schemeClr w14:val="tx1"/>
            </w14:solidFill>
          </w14:textFill>
        </w:rPr>
        <w:t>。</w:t>
      </w:r>
    </w:p>
    <w:p w14:paraId="26FEBAE9">
      <w:pPr>
        <w:pStyle w:val="3"/>
        <w:rPr>
          <w:color w:val="000000" w:themeColor="text1"/>
          <w14:textFill>
            <w14:solidFill>
              <w14:schemeClr w14:val="tx1"/>
            </w14:solidFill>
          </w14:textFill>
        </w:rPr>
      </w:pPr>
      <w:bookmarkStart w:id="236" w:name="_Toc23377"/>
      <w:r>
        <w:rPr>
          <w:rFonts w:hint="eastAsia"/>
          <w:color w:val="000000" w:themeColor="text1"/>
          <w14:textFill>
            <w14:solidFill>
              <w14:schemeClr w14:val="tx1"/>
            </w14:solidFill>
          </w14:textFill>
        </w:rPr>
        <w:t>取证以来的情况</w:t>
      </w:r>
      <w:bookmarkEnd w:id="236"/>
    </w:p>
    <w:p w14:paraId="00754B14">
      <w:pPr>
        <w:rPr>
          <w:color w:val="000000" w:themeColor="text1"/>
          <w14:textFill>
            <w14:solidFill>
              <w14:schemeClr w14:val="tx1"/>
            </w14:solidFill>
          </w14:textFill>
        </w:rPr>
      </w:pPr>
      <w:r>
        <w:rPr>
          <w:rFonts w:hint="eastAsia"/>
          <w:color w:val="000000" w:themeColor="text1"/>
          <w14:textFill>
            <w14:solidFill>
              <w14:schemeClr w14:val="tx1"/>
            </w14:solidFill>
          </w14:textFill>
        </w:rPr>
        <w:t>自2021年度取证以来，加油站情况如下：</w:t>
      </w:r>
    </w:p>
    <w:p w14:paraId="752C88FC">
      <w:pPr>
        <w:rPr>
          <w:color w:val="000000" w:themeColor="text1"/>
          <w14:textFill>
            <w14:solidFill>
              <w14:schemeClr w14:val="tx1"/>
            </w14:solidFill>
          </w14:textFill>
        </w:rPr>
      </w:pPr>
      <w:r>
        <w:rPr>
          <w:rFonts w:hint="eastAsia"/>
          <w:color w:val="000000" w:themeColor="text1"/>
          <w14:textFill>
            <w14:solidFill>
              <w14:schemeClr w14:val="tx1"/>
            </w14:solidFill>
          </w14:textFill>
        </w:rPr>
        <w:t>1.营业执照、危险化学品经营许可证、成品油零售经营批准证书在有效期内；</w:t>
      </w:r>
    </w:p>
    <w:p w14:paraId="18CCA0F6">
      <w:pPr>
        <w:rPr>
          <w:color w:val="000000" w:themeColor="text1"/>
          <w14:textFill>
            <w14:solidFill>
              <w14:schemeClr w14:val="tx1"/>
            </w14:solidFill>
          </w14:textFill>
        </w:rPr>
      </w:pPr>
      <w:r>
        <w:rPr>
          <w:rFonts w:hint="eastAsia"/>
          <w:color w:val="000000" w:themeColor="text1"/>
          <w14:textFill>
            <w14:solidFill>
              <w14:schemeClr w14:val="tx1"/>
            </w14:solidFill>
          </w14:textFill>
        </w:rPr>
        <w:t>2.加油站周边环境未发生变化；</w:t>
      </w:r>
    </w:p>
    <w:p w14:paraId="0EC09461">
      <w:pPr>
        <w:rPr>
          <w:color w:val="000000" w:themeColor="text1"/>
          <w14:textFill>
            <w14:solidFill>
              <w14:schemeClr w14:val="tx1"/>
            </w14:solidFill>
          </w14:textFill>
        </w:rPr>
      </w:pPr>
      <w:r>
        <w:rPr>
          <w:rFonts w:hint="eastAsia"/>
          <w:color w:val="000000" w:themeColor="text1"/>
          <w14:textFill>
            <w14:solidFill>
              <w14:schemeClr w14:val="tx1"/>
            </w14:solidFill>
          </w14:textFill>
        </w:rPr>
        <w:t>3.自2021年度取证以来至评价基准日，加油站规模等未发生变化；</w:t>
      </w:r>
    </w:p>
    <w:p w14:paraId="01FDA571">
      <w:pPr>
        <w:rPr>
          <w:color w:val="000000" w:themeColor="text1"/>
          <w14:textFill>
            <w14:solidFill>
              <w14:schemeClr w14:val="tx1"/>
            </w14:solidFill>
          </w14:textFill>
        </w:rPr>
      </w:pPr>
      <w:r>
        <w:rPr>
          <w:rFonts w:hint="eastAsia"/>
          <w:color w:val="000000" w:themeColor="text1"/>
          <w14:textFill>
            <w14:solidFill>
              <w14:schemeClr w14:val="tx1"/>
            </w14:solidFill>
          </w14:textFill>
        </w:rPr>
        <w:t>4.自2021年度取证以来至评价基准日未发生生产安全事故；</w:t>
      </w:r>
    </w:p>
    <w:p w14:paraId="4E0F9EE3">
      <w:pPr>
        <w:rPr>
          <w:color w:val="000000" w:themeColor="text1"/>
          <w14:textFill>
            <w14:solidFill>
              <w14:schemeClr w14:val="tx1"/>
            </w14:solidFill>
          </w14:textFill>
        </w:rPr>
        <w:sectPr>
          <w:footerReference r:id="rId13" w:type="default"/>
          <w:pgSz w:w="11905" w:h="16838"/>
          <w:pgMar w:top="1304" w:right="1361" w:bottom="1304" w:left="1361" w:header="850" w:footer="850" w:gutter="0"/>
          <w:cols w:space="0" w:num="1"/>
          <w:rtlGutter w:val="0"/>
          <w:docGrid w:type="linesAndChars" w:linePitch="386" w:charSpace="0"/>
        </w:sect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开展了</w:t>
      </w:r>
      <w:r>
        <w:rPr>
          <w:rFonts w:hint="eastAsia"/>
          <w:color w:val="000000" w:themeColor="text1"/>
          <w14:textFill>
            <w14:solidFill>
              <w14:schemeClr w14:val="tx1"/>
            </w14:solidFill>
          </w14:textFill>
        </w:rPr>
        <w:t>双重预防机制建设，创建了安全生产标准化，并取得了安全生产标准化等级证书。</w:t>
      </w:r>
    </w:p>
    <w:bookmarkEnd w:id="218"/>
    <w:bookmarkEnd w:id="219"/>
    <w:bookmarkEnd w:id="220"/>
    <w:bookmarkEnd w:id="221"/>
    <w:p w14:paraId="3BFC27FF">
      <w:pPr>
        <w:pStyle w:val="2"/>
        <w:spacing w:before="193" w:after="193"/>
        <w:rPr>
          <w:color w:val="000000" w:themeColor="text1"/>
          <w14:textFill>
            <w14:solidFill>
              <w14:schemeClr w14:val="tx1"/>
            </w14:solidFill>
          </w14:textFill>
        </w:rPr>
      </w:pPr>
      <w:bookmarkStart w:id="237" w:name="_Toc387135669"/>
      <w:bookmarkStart w:id="238" w:name="_Toc27732"/>
      <w:bookmarkStart w:id="239" w:name="_Toc213232897"/>
      <w:bookmarkStart w:id="240" w:name="_Toc195156246"/>
      <w:r>
        <w:rPr>
          <w:rFonts w:hint="eastAsia"/>
          <w:color w:val="000000" w:themeColor="text1"/>
          <w14:textFill>
            <w14:solidFill>
              <w14:schemeClr w14:val="tx1"/>
            </w14:solidFill>
          </w14:textFill>
        </w:rPr>
        <w:t>危险、有害因素的辨识结果及依据说明</w:t>
      </w:r>
      <w:bookmarkEnd w:id="237"/>
      <w:bookmarkEnd w:id="238"/>
      <w:bookmarkEnd w:id="239"/>
      <w:bookmarkEnd w:id="240"/>
    </w:p>
    <w:p w14:paraId="5370C9A6">
      <w:pPr>
        <w:pStyle w:val="3"/>
        <w:rPr>
          <w:color w:val="000000" w:themeColor="text1"/>
          <w14:textFill>
            <w14:solidFill>
              <w14:schemeClr w14:val="tx1"/>
            </w14:solidFill>
          </w14:textFill>
        </w:rPr>
      </w:pPr>
      <w:bookmarkStart w:id="241" w:name="_Toc2384"/>
      <w:bookmarkStart w:id="242" w:name="_Toc187699903"/>
      <w:bookmarkStart w:id="243" w:name="_Toc387135670"/>
      <w:bookmarkStart w:id="244" w:name="_Toc213232898"/>
      <w:bookmarkStart w:id="245" w:name="_Toc188863901"/>
      <w:bookmarkStart w:id="246" w:name="_Toc116653366"/>
      <w:bookmarkStart w:id="247" w:name="_Toc116653369"/>
      <w:bookmarkStart w:id="248" w:name="_Toc151881393"/>
      <w:bookmarkStart w:id="249" w:name="_Toc156661656"/>
      <w:bookmarkStart w:id="250" w:name="_Toc126983512"/>
      <w:bookmarkStart w:id="251" w:name="_Toc137953284"/>
      <w:r>
        <w:rPr>
          <w:rFonts w:hint="eastAsia"/>
          <w:color w:val="000000" w:themeColor="text1"/>
          <w14:textFill>
            <w14:solidFill>
              <w14:schemeClr w14:val="tx1"/>
            </w14:solidFill>
          </w14:textFill>
        </w:rPr>
        <w:t>危险、有害因素辨识与分析的依据</w:t>
      </w:r>
      <w:bookmarkEnd w:id="241"/>
      <w:bookmarkEnd w:id="242"/>
      <w:bookmarkEnd w:id="243"/>
      <w:bookmarkEnd w:id="244"/>
      <w:bookmarkEnd w:id="245"/>
    </w:p>
    <w:p w14:paraId="155297FF">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根据危险有害因素的定义、产生原因及其分类，对系统中固有危险、相关危险有害因素及贮运过程的危险有害因素进行辨识与分析，采用的相关依据如下：</w:t>
      </w:r>
    </w:p>
    <w:bookmarkEnd w:id="246"/>
    <w:bookmarkEnd w:id="247"/>
    <w:bookmarkEnd w:id="248"/>
    <w:bookmarkEnd w:id="249"/>
    <w:bookmarkEnd w:id="250"/>
    <w:bookmarkEnd w:id="251"/>
    <w:p w14:paraId="7A2E869E">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bookmarkStart w:id="252" w:name="_Toc363315937"/>
      <w:bookmarkStart w:id="253" w:name="_Toc360569542"/>
      <w:bookmarkStart w:id="254" w:name="_Toc456527705"/>
      <w:bookmarkStart w:id="255" w:name="_Toc387135671"/>
      <w:bookmarkStart w:id="256" w:name="_Toc213232899"/>
      <w:bookmarkStart w:id="257" w:name="_Toc195156248"/>
      <w:r>
        <w:rPr>
          <w:rFonts w:hint="eastAsia"/>
          <w:color w:val="000000" w:themeColor="text1"/>
          <w14:textFill>
            <w14:solidFill>
              <w14:schemeClr w14:val="tx1"/>
            </w14:solidFill>
          </w14:textFill>
        </w:rPr>
        <w:t>《企业职工伤亡事故分类》（GB6441-1986）；</w:t>
      </w:r>
    </w:p>
    <w:p w14:paraId="52CF883A">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《危险化学品重大危险源辨识》（GB18218-20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w:t>
      </w:r>
      <w:r>
        <w:rPr>
          <w:rFonts w:hint="eastAsia"/>
          <w:color w:val="000000" w:themeColor="text1"/>
          <w14:textFill>
            <w14:solidFill>
              <w14:schemeClr w14:val="tx1"/>
            </w14:solidFill>
          </w14:textFill>
        </w:rPr>
        <w:t>；</w:t>
      </w:r>
    </w:p>
    <w:p w14:paraId="2B730DD6">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《职业性接触毒物危害程度分级》（GBZ230-2010）；</w:t>
      </w:r>
    </w:p>
    <w:p w14:paraId="04796719">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《化学品分类和危险性公示通则》（GB13690-2009）；</w:t>
      </w:r>
    </w:p>
    <w:p w14:paraId="56F60090">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《建筑设计防火规范（2018年版）》（GB50016-2014）；</w:t>
      </w:r>
    </w:p>
    <w:p w14:paraId="19CEC039">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《危险化学品企业特殊作业安全规范》（GB30871-2022）；</w:t>
      </w:r>
    </w:p>
    <w:p w14:paraId="44D23875">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《生产过程危险和有害因素分类与代码》（GB/T13861-20</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eastAsia="新宋体"/>
          <w:color w:val="000000" w:themeColor="text1"/>
          <w14:textFill>
            <w14:solidFill>
              <w14:schemeClr w14:val="tx1"/>
            </w14:solidFill>
          </w14:textFill>
        </w:rPr>
        <w:t>；</w:t>
      </w:r>
    </w:p>
    <w:p w14:paraId="15F67704">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rFonts w:ascii="新宋体" w:hAnsi="新宋体" w:eastAsia="新宋体"/>
          <w:color w:val="000000" w:themeColor="text1"/>
          <w:szCs w:val="22"/>
          <w14:textFill>
            <w14:solidFill>
              <w14:schemeClr w14:val="tx1"/>
            </w14:solidFill>
          </w14:textFill>
        </w:rPr>
      </w:pPr>
      <w:r>
        <w:rPr>
          <w:rFonts w:hint="eastAsia"/>
          <w:color w:val="000000" w:themeColor="text1"/>
          <w14:textFill>
            <w14:solidFill>
              <w14:schemeClr w14:val="tx1"/>
            </w14:solidFill>
          </w14:textFill>
        </w:rPr>
        <w:t>《危险化学品安全管理条例》（国务院令第591号，645号令修订）</w:t>
      </w:r>
      <w:r>
        <w:rPr>
          <w:rFonts w:hint="eastAsia"/>
          <w:color w:val="000000" w:themeColor="text1"/>
          <w:lang w:eastAsia="zh-CN"/>
          <w14:textFill>
            <w14:solidFill>
              <w14:schemeClr w14:val="tx1"/>
            </w14:solidFill>
          </w14:textFill>
        </w:rPr>
        <w:t>；</w:t>
      </w:r>
    </w:p>
    <w:p w14:paraId="721BCABD">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《特别管控危险化学品目录（第一版）》（应急管理部、工业和信息化部、公安部及交通运输部2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年第</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号公告）；</w:t>
      </w:r>
    </w:p>
    <w:p w14:paraId="31BDBE2E">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汽油的理化特性；</w:t>
      </w:r>
    </w:p>
    <w:p w14:paraId="76E02A68">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柴油的理化特性；</w:t>
      </w:r>
    </w:p>
    <w:p w14:paraId="430F7220">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相关事故案例。</w:t>
      </w:r>
    </w:p>
    <w:p w14:paraId="1865F3D1">
      <w:pPr>
        <w:pStyle w:val="3"/>
        <w:rPr>
          <w:color w:val="000000" w:themeColor="text1"/>
          <w14:textFill>
            <w14:solidFill>
              <w14:schemeClr w14:val="tx1"/>
            </w14:solidFill>
          </w14:textFill>
        </w:rPr>
      </w:pPr>
      <w:bookmarkStart w:id="258" w:name="_Toc1023"/>
      <w:r>
        <w:rPr>
          <w:rFonts w:hint="eastAsia"/>
          <w:color w:val="000000" w:themeColor="text1"/>
          <w14:textFill>
            <w14:solidFill>
              <w14:schemeClr w14:val="tx1"/>
            </w14:solidFill>
          </w14:textFill>
        </w:rPr>
        <w:t>危险化学品特性</w:t>
      </w:r>
      <w:bookmarkEnd w:id="252"/>
      <w:bookmarkEnd w:id="253"/>
      <w:bookmarkEnd w:id="254"/>
      <w:bookmarkEnd w:id="258"/>
    </w:p>
    <w:p w14:paraId="079C05B1">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根据《危险化学品目录》（2022年调整）及《应急管理部办公厅关于修改《危险化学品目录（2015版）实施指南（试行）》涉及柴油部分内容的通知》（</w:t>
      </w:r>
      <w:r>
        <w:rPr>
          <w:color w:val="000000" w:themeColor="text1"/>
          <w14:textFill>
            <w14:solidFill>
              <w14:schemeClr w14:val="tx1"/>
            </w14:solidFill>
          </w14:textFill>
        </w:rPr>
        <w:t>应急厅函〔2022〕300号</w:t>
      </w:r>
      <w:r>
        <w:rPr>
          <w:rFonts w:hint="eastAsia"/>
          <w:color w:val="000000" w:themeColor="text1"/>
          <w14:textFill>
            <w14:solidFill>
              <w14:schemeClr w14:val="tx1"/>
            </w14:solidFill>
          </w14:textFill>
        </w:rPr>
        <w:t>，2022年12月5日发布，2023年1月1日起实施），加油站经营的汽油和柴油均属于危险化学品。</w:t>
      </w:r>
    </w:p>
    <w:p w14:paraId="74C6E379">
      <w:pPr>
        <w:pStyle w:val="4"/>
        <w:ind w:firstLine="562"/>
        <w:rPr>
          <w:color w:val="000000" w:themeColor="text1"/>
          <w14:textFill>
            <w14:solidFill>
              <w14:schemeClr w14:val="tx1"/>
            </w14:solidFill>
          </w14:textFill>
        </w:rPr>
      </w:pPr>
      <w:bookmarkStart w:id="259" w:name="_Toc456527706"/>
      <w:bookmarkStart w:id="260" w:name="_Toc6652"/>
      <w:bookmarkStart w:id="261" w:name="_Toc363315938"/>
      <w:bookmarkStart w:id="262" w:name="_Toc360569543"/>
      <w:r>
        <w:rPr>
          <w:rFonts w:hint="eastAsia"/>
          <w:color w:val="000000" w:themeColor="text1"/>
          <w14:textFill>
            <w14:solidFill>
              <w14:schemeClr w14:val="tx1"/>
            </w14:solidFill>
          </w14:textFill>
        </w:rPr>
        <w:t>汽油危险特性</w:t>
      </w:r>
      <w:bookmarkEnd w:id="259"/>
      <w:bookmarkEnd w:id="260"/>
      <w:bookmarkEnd w:id="261"/>
      <w:bookmarkEnd w:id="262"/>
    </w:p>
    <w:p w14:paraId="31065506">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根据《危险化学品安全技术全书》（</w:t>
      </w:r>
      <w:r>
        <w:rPr>
          <w:rFonts w:hint="eastAsia"/>
          <w:color w:val="000000" w:themeColor="text1"/>
          <w:lang w:val="en-US" w:eastAsia="zh-CN"/>
          <w14:textFill>
            <w14:solidFill>
              <w14:schemeClr w14:val="tx1"/>
            </w14:solidFill>
          </w14:textFill>
        </w:rPr>
        <w:t>2017</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月第</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版，化学工业出版社），汽油的理化特性见表3-1。</w:t>
      </w:r>
    </w:p>
    <w:p w14:paraId="7197A6B2">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 xml:space="preserve"> 汽油理化特性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5"/>
        <w:gridCol w:w="1437"/>
        <w:gridCol w:w="1750"/>
        <w:gridCol w:w="408"/>
        <w:gridCol w:w="222"/>
        <w:gridCol w:w="716"/>
        <w:gridCol w:w="433"/>
        <w:gridCol w:w="240"/>
        <w:gridCol w:w="352"/>
        <w:gridCol w:w="516"/>
        <w:gridCol w:w="703"/>
        <w:gridCol w:w="227"/>
        <w:gridCol w:w="166"/>
        <w:gridCol w:w="1246"/>
      </w:tblGrid>
      <w:tr w14:paraId="6343FE2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14:paraId="2A6424A8">
            <w:pPr>
              <w:pStyle w:val="93"/>
              <w:rPr>
                <w:color w:val="000000" w:themeColor="text1"/>
                <w14:textFill>
                  <w14:solidFill>
                    <w14:schemeClr w14:val="tx1"/>
                  </w14:solidFill>
                </w14:textFill>
              </w:rPr>
            </w:pPr>
            <w:bookmarkStart w:id="263" w:name="_Toc456527707"/>
            <w:bookmarkStart w:id="264" w:name="_Toc363315939"/>
            <w:bookmarkStart w:id="265" w:name="_Toc360569544"/>
            <w:r>
              <w:rPr>
                <w:color w:val="000000" w:themeColor="text1"/>
                <w14:textFill>
                  <w14:solidFill>
                    <w14:schemeClr w14:val="tx1"/>
                  </w14:solidFill>
                </w14:textFill>
              </w:rPr>
              <w:t>标识</w:t>
            </w:r>
          </w:p>
        </w:tc>
        <w:tc>
          <w:tcPr>
            <w:tcW w:w="1437" w:type="dxa"/>
            <w:tcBorders>
              <w:top w:val="single" w:color="auto" w:sz="6" w:space="0"/>
              <w:left w:val="single" w:color="auto" w:sz="6" w:space="0"/>
              <w:bottom w:val="single" w:color="auto" w:sz="6" w:space="0"/>
              <w:right w:val="single" w:color="auto" w:sz="6" w:space="0"/>
            </w:tcBorders>
            <w:vAlign w:val="center"/>
          </w:tcPr>
          <w:p w14:paraId="25AE7438">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769" w:type="dxa"/>
            <w:gridSpan w:val="6"/>
            <w:tcBorders>
              <w:top w:val="single" w:color="auto" w:sz="6" w:space="0"/>
              <w:left w:val="single" w:color="auto" w:sz="6" w:space="0"/>
              <w:bottom w:val="single" w:color="auto" w:sz="6" w:space="0"/>
              <w:right w:val="single" w:color="auto" w:sz="6" w:space="0"/>
            </w:tcBorders>
            <w:vAlign w:val="center"/>
          </w:tcPr>
          <w:p w14:paraId="16DE2FEF">
            <w:pPr>
              <w:pStyle w:val="93"/>
              <w:rPr>
                <w:color w:val="000000" w:themeColor="text1"/>
                <w14:textFill>
                  <w14:solidFill>
                    <w14:schemeClr w14:val="tx1"/>
                  </w14:solidFill>
                </w14:textFill>
              </w:rPr>
            </w:pPr>
            <w:r>
              <w:rPr>
                <w:color w:val="000000" w:themeColor="text1"/>
                <w14:textFill>
                  <w14:solidFill>
                    <w14:schemeClr w14:val="tx1"/>
                  </w14:solidFill>
                </w14:textFill>
              </w:rPr>
              <w:t>汽油</w:t>
            </w:r>
          </w:p>
        </w:tc>
        <w:tc>
          <w:tcPr>
            <w:tcW w:w="1798" w:type="dxa"/>
            <w:gridSpan w:val="4"/>
            <w:tcBorders>
              <w:top w:val="single" w:color="auto" w:sz="6" w:space="0"/>
              <w:left w:val="single" w:color="auto" w:sz="6" w:space="0"/>
              <w:bottom w:val="single" w:color="auto" w:sz="6" w:space="0"/>
              <w:right w:val="single" w:color="auto" w:sz="6" w:space="0"/>
            </w:tcBorders>
            <w:vAlign w:val="center"/>
          </w:tcPr>
          <w:p w14:paraId="30AC3525">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14:paraId="69E9D4B5">
            <w:pPr>
              <w:pStyle w:val="93"/>
              <w:rPr>
                <w:color w:val="000000" w:themeColor="text1"/>
                <w14:textFill>
                  <w14:solidFill>
                    <w14:schemeClr w14:val="tx1"/>
                  </w14:solidFill>
                </w14:textFill>
              </w:rPr>
            </w:pPr>
            <w:r>
              <w:rPr>
                <w:color w:val="000000" w:themeColor="text1"/>
                <w14:textFill>
                  <w14:solidFill>
                    <w14:schemeClr w14:val="tx1"/>
                  </w14:solidFill>
                </w14:textFill>
              </w:rPr>
              <w:t>1630</w:t>
            </w:r>
          </w:p>
        </w:tc>
      </w:tr>
      <w:tr w14:paraId="4AC8E59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70A192D8">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3060E6C3">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769" w:type="dxa"/>
            <w:gridSpan w:val="6"/>
            <w:tcBorders>
              <w:top w:val="single" w:color="auto" w:sz="6" w:space="0"/>
              <w:left w:val="single" w:color="auto" w:sz="6" w:space="0"/>
              <w:bottom w:val="single" w:color="auto" w:sz="6" w:space="0"/>
              <w:right w:val="single" w:color="auto" w:sz="6" w:space="0"/>
            </w:tcBorders>
            <w:vAlign w:val="center"/>
          </w:tcPr>
          <w:p w14:paraId="3B2335D4">
            <w:pPr>
              <w:pStyle w:val="93"/>
              <w:rPr>
                <w:color w:val="000000" w:themeColor="text1"/>
                <w14:textFill>
                  <w14:solidFill>
                    <w14:schemeClr w14:val="tx1"/>
                  </w14:solidFill>
                </w14:textFill>
              </w:rPr>
            </w:pPr>
            <w:r>
              <w:rPr>
                <w:color w:val="000000" w:themeColor="text1"/>
                <w14:textFill>
                  <w14:solidFill>
                    <w14:schemeClr w14:val="tx1"/>
                  </w14:solidFill>
                </w14:textFill>
              </w:rPr>
              <w:t>Gasoline</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Petrol</w:t>
            </w:r>
          </w:p>
        </w:tc>
        <w:tc>
          <w:tcPr>
            <w:tcW w:w="1798" w:type="dxa"/>
            <w:gridSpan w:val="4"/>
            <w:tcBorders>
              <w:top w:val="single" w:color="auto" w:sz="6" w:space="0"/>
              <w:left w:val="single" w:color="auto" w:sz="6" w:space="0"/>
              <w:bottom w:val="single" w:color="auto" w:sz="6" w:space="0"/>
              <w:right w:val="single" w:color="auto" w:sz="6" w:space="0"/>
            </w:tcBorders>
            <w:vAlign w:val="center"/>
          </w:tcPr>
          <w:p w14:paraId="5E04CEB6">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14:paraId="4C637277">
            <w:pPr>
              <w:pStyle w:val="93"/>
              <w:rPr>
                <w:color w:val="000000" w:themeColor="text1"/>
                <w14:textFill>
                  <w14:solidFill>
                    <w14:schemeClr w14:val="tx1"/>
                  </w14:solidFill>
                </w14:textFill>
              </w:rPr>
            </w:pPr>
            <w:r>
              <w:rPr>
                <w:color w:val="000000" w:themeColor="text1"/>
                <w14:textFill>
                  <w14:solidFill>
                    <w14:schemeClr w14:val="tx1"/>
                  </w14:solidFill>
                </w14:textFill>
              </w:rPr>
              <w:t>86290-81-5</w:t>
            </w:r>
          </w:p>
        </w:tc>
      </w:tr>
      <w:tr w14:paraId="0BBB357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14:paraId="6471ADD7">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437" w:type="dxa"/>
            <w:tcBorders>
              <w:top w:val="single" w:color="auto" w:sz="6" w:space="0"/>
              <w:left w:val="single" w:color="auto" w:sz="6" w:space="0"/>
              <w:bottom w:val="single" w:color="auto" w:sz="6" w:space="0"/>
              <w:right w:val="single" w:color="auto" w:sz="6" w:space="0"/>
            </w:tcBorders>
            <w:vAlign w:val="center"/>
          </w:tcPr>
          <w:p w14:paraId="42BB95F5">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69ABAEA9">
            <w:pPr>
              <w:pStyle w:val="93"/>
              <w:rPr>
                <w:color w:val="000000" w:themeColor="text1"/>
                <w14:textFill>
                  <w14:solidFill>
                    <w14:schemeClr w14:val="tx1"/>
                  </w14:solidFill>
                </w14:textFill>
              </w:rPr>
            </w:pPr>
            <w:r>
              <w:rPr>
                <w:color w:val="000000" w:themeColor="text1"/>
                <w14:textFill>
                  <w14:solidFill>
                    <w14:schemeClr w14:val="tx1"/>
                  </w14:solidFill>
                </w14:textFill>
              </w:rPr>
              <w:t>无色或淡黄色易挥发液体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具有特殊臭味。</w:t>
            </w:r>
          </w:p>
        </w:tc>
      </w:tr>
      <w:tr w14:paraId="0D5A611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23E8C49A">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388F95AD">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0C65AA31">
            <w:pPr>
              <w:pStyle w:val="93"/>
              <w:rPr>
                <w:color w:val="000000" w:themeColor="text1"/>
                <w14:textFill>
                  <w14:solidFill>
                    <w14:schemeClr w14:val="tx1"/>
                  </w14:solidFill>
                </w14:textFill>
              </w:rPr>
            </w:pP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12</w:t>
            </w:r>
            <w:r>
              <w:rPr>
                <w:color w:val="000000" w:themeColor="text1"/>
                <w14:textFill>
                  <w14:solidFill>
                    <w14:schemeClr w14:val="tx1"/>
                  </w14:solidFill>
                </w14:textFill>
              </w:rPr>
              <w:t>脂肪烃和环烷烃。</w:t>
            </w:r>
          </w:p>
        </w:tc>
      </w:tr>
      <w:tr w14:paraId="515965F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0E770BA1">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1BBAA288">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380" w:type="dxa"/>
            <w:gridSpan w:val="3"/>
            <w:tcBorders>
              <w:top w:val="single" w:color="auto" w:sz="6" w:space="0"/>
              <w:left w:val="single" w:color="auto" w:sz="6" w:space="0"/>
              <w:bottom w:val="single" w:color="auto" w:sz="6" w:space="0"/>
              <w:right w:val="single" w:color="auto" w:sz="6" w:space="0"/>
            </w:tcBorders>
            <w:vAlign w:val="center"/>
          </w:tcPr>
          <w:p w14:paraId="11479D7A">
            <w:pPr>
              <w:pStyle w:val="93"/>
              <w:rPr>
                <w:color w:val="000000" w:themeColor="text1"/>
                <w14:textFill>
                  <w14:solidFill>
                    <w14:schemeClr w14:val="tx1"/>
                  </w14:solidFill>
                </w14:textFill>
              </w:rPr>
            </w:pPr>
            <w:r>
              <w:rPr>
                <w:color w:val="000000" w:themeColor="text1"/>
                <w14:textFill>
                  <w14:solidFill>
                    <w14:schemeClr w14:val="tx1"/>
                  </w14:solidFill>
                </w14:textFill>
              </w:rPr>
              <w:t>&lt;-60</w:t>
            </w:r>
          </w:p>
        </w:tc>
        <w:tc>
          <w:tcPr>
            <w:tcW w:w="2257" w:type="dxa"/>
            <w:gridSpan w:val="5"/>
            <w:tcBorders>
              <w:top w:val="single" w:color="auto" w:sz="6" w:space="0"/>
              <w:left w:val="single" w:color="auto" w:sz="6" w:space="0"/>
              <w:bottom w:val="single" w:color="auto" w:sz="6" w:space="0"/>
              <w:right w:val="single" w:color="auto" w:sz="6" w:space="0"/>
            </w:tcBorders>
            <w:vAlign w:val="center"/>
          </w:tcPr>
          <w:p w14:paraId="75EF53F7">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2" w:type="dxa"/>
            <w:gridSpan w:val="4"/>
            <w:tcBorders>
              <w:top w:val="single" w:color="auto" w:sz="6" w:space="0"/>
              <w:left w:val="single" w:color="auto" w:sz="6" w:space="0"/>
              <w:bottom w:val="single" w:color="auto" w:sz="6" w:space="0"/>
              <w:right w:val="single" w:color="auto" w:sz="6" w:space="0"/>
            </w:tcBorders>
            <w:vAlign w:val="center"/>
          </w:tcPr>
          <w:p w14:paraId="717A0C82">
            <w:pPr>
              <w:pStyle w:val="93"/>
              <w:rPr>
                <w:color w:val="000000" w:themeColor="text1"/>
                <w14:textFill>
                  <w14:solidFill>
                    <w14:schemeClr w14:val="tx1"/>
                  </w14:solidFill>
                </w14:textFill>
              </w:rPr>
            </w:pPr>
            <w:r>
              <w:rPr>
                <w:color w:val="000000" w:themeColor="text1"/>
                <w14:textFill>
                  <w14:solidFill>
                    <w14:schemeClr w14:val="tx1"/>
                  </w14:solidFill>
                </w14:textFill>
              </w:rPr>
              <w:t>0.7</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～0.7</w:t>
            </w:r>
            <w:r>
              <w:rPr>
                <w:rFonts w:hint="eastAsia"/>
                <w:color w:val="000000" w:themeColor="text1"/>
                <w14:textFill>
                  <w14:solidFill>
                    <w14:schemeClr w14:val="tx1"/>
                  </w14:solidFill>
                </w14:textFill>
              </w:rPr>
              <w:t>75</w:t>
            </w:r>
          </w:p>
        </w:tc>
      </w:tr>
      <w:tr w14:paraId="00A8202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1C862495">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EFD8827">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380" w:type="dxa"/>
            <w:gridSpan w:val="3"/>
            <w:tcBorders>
              <w:top w:val="single" w:color="auto" w:sz="6" w:space="0"/>
              <w:left w:val="single" w:color="auto" w:sz="6" w:space="0"/>
              <w:bottom w:val="single" w:color="auto" w:sz="6" w:space="0"/>
              <w:right w:val="single" w:color="auto" w:sz="6" w:space="0"/>
            </w:tcBorders>
            <w:vAlign w:val="center"/>
          </w:tcPr>
          <w:p w14:paraId="7677443F">
            <w:pPr>
              <w:pStyle w:val="93"/>
              <w:rPr>
                <w:color w:val="000000" w:themeColor="text1"/>
                <w14:textFill>
                  <w14:solidFill>
                    <w14:schemeClr w14:val="tx1"/>
                  </w14:solidFill>
                </w14:textFill>
              </w:rPr>
            </w:pPr>
            <w:r>
              <w:rPr>
                <w:color w:val="000000" w:themeColor="text1"/>
                <w14:textFill>
                  <w14:solidFill>
                    <w14:schemeClr w14:val="tx1"/>
                  </w14:solidFill>
                </w14:textFill>
              </w:rPr>
              <w:t>40～200</w:t>
            </w:r>
          </w:p>
        </w:tc>
        <w:tc>
          <w:tcPr>
            <w:tcW w:w="2257" w:type="dxa"/>
            <w:gridSpan w:val="5"/>
            <w:tcBorders>
              <w:top w:val="single" w:color="auto" w:sz="6" w:space="0"/>
              <w:left w:val="single" w:color="auto" w:sz="6" w:space="0"/>
              <w:bottom w:val="single" w:color="auto" w:sz="6" w:space="0"/>
              <w:right w:val="single" w:color="auto" w:sz="6" w:space="0"/>
            </w:tcBorders>
            <w:vAlign w:val="center"/>
          </w:tcPr>
          <w:p w14:paraId="2447F79D">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2" w:type="dxa"/>
            <w:gridSpan w:val="4"/>
            <w:tcBorders>
              <w:top w:val="single" w:color="auto" w:sz="6" w:space="0"/>
              <w:left w:val="single" w:color="auto" w:sz="6" w:space="0"/>
              <w:bottom w:val="single" w:color="auto" w:sz="6" w:space="0"/>
              <w:right w:val="single" w:color="auto" w:sz="6" w:space="0"/>
            </w:tcBorders>
            <w:vAlign w:val="center"/>
          </w:tcPr>
          <w:p w14:paraId="4AA94B6B">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14:paraId="1D6EC43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614C177D">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1674CBD">
            <w:pPr>
              <w:pStyle w:val="93"/>
              <w:rPr>
                <w:color w:val="000000" w:themeColor="text1"/>
                <w14:textFill>
                  <w14:solidFill>
                    <w14:schemeClr w14:val="tx1"/>
                  </w14:solidFill>
                </w14:textFill>
              </w:rPr>
            </w:pPr>
            <w:r>
              <w:rPr>
                <w:color w:val="000000" w:themeColor="text1"/>
                <w14:textFill>
                  <w14:solidFill>
                    <w14:schemeClr w14:val="tx1"/>
                  </w14:solidFill>
                </w14:textFill>
              </w:rPr>
              <w:t>溶解性</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7A28F8F2">
            <w:pPr>
              <w:pStyle w:val="93"/>
              <w:rPr>
                <w:color w:val="000000" w:themeColor="text1"/>
                <w14:textFill>
                  <w14:solidFill>
                    <w14:schemeClr w14:val="tx1"/>
                  </w14:solidFill>
                </w14:textFill>
              </w:rPr>
            </w:pPr>
            <w:r>
              <w:rPr>
                <w:color w:val="000000" w:themeColor="text1"/>
                <w14:textFill>
                  <w14:solidFill>
                    <w14:schemeClr w14:val="tx1"/>
                  </w14:solidFill>
                </w14:textFill>
              </w:rPr>
              <w:t>不溶于水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易溶于苯、二硫化碳、醇、脂肪。</w:t>
            </w:r>
          </w:p>
        </w:tc>
      </w:tr>
      <w:tr w14:paraId="1170391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2C833061">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B398D15">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6780A123">
            <w:pPr>
              <w:pStyle w:val="93"/>
              <w:rPr>
                <w:color w:val="000000" w:themeColor="text1"/>
                <w14:textFill>
                  <w14:solidFill>
                    <w14:schemeClr w14:val="tx1"/>
                  </w14:solidFill>
                </w14:textFill>
              </w:rPr>
            </w:pPr>
            <w:r>
              <w:rPr>
                <w:color w:val="000000" w:themeColor="text1"/>
                <w14:textFill>
                  <w14:solidFill>
                    <w14:schemeClr w14:val="tx1"/>
                  </w14:solidFill>
                </w14:textFill>
              </w:rPr>
              <w:t>主要用作汽油机的燃料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用于橡胶、制鞋、印刷、制革、颜料等行业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也可用作机械零件的去污剂。</w:t>
            </w:r>
          </w:p>
        </w:tc>
      </w:tr>
      <w:tr w14:paraId="4C8DD08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14:paraId="655578F4">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437" w:type="dxa"/>
            <w:tcBorders>
              <w:top w:val="single" w:color="auto" w:sz="6" w:space="0"/>
              <w:left w:val="single" w:color="auto" w:sz="6" w:space="0"/>
              <w:bottom w:val="single" w:color="auto" w:sz="6" w:space="0"/>
              <w:right w:val="single" w:color="auto" w:sz="6" w:space="0"/>
            </w:tcBorders>
            <w:vAlign w:val="center"/>
          </w:tcPr>
          <w:p w14:paraId="450A7376">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5A066FEC">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14:paraId="416EBFB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2153E48D">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4BAC03C">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6C490C85">
            <w:pPr>
              <w:pStyle w:val="93"/>
              <w:rPr>
                <w:color w:val="000000" w:themeColor="text1"/>
                <w14:textFill>
                  <w14:solidFill>
                    <w14:schemeClr w14:val="tx1"/>
                  </w14:solidFill>
                </w14:textFill>
              </w:rPr>
            </w:pPr>
            <w:r>
              <w:rPr>
                <w:color w:val="000000" w:themeColor="text1"/>
                <w14:textFill>
                  <w14:solidFill>
                    <w14:schemeClr w14:val="tx1"/>
                  </w14:solidFill>
                </w14:textFill>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甚至失明。皮肤接触致急性接触性皮炎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甚至灼伤。吞咽引起急性胃肠炎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重者出现类似急性吸入中毒症状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并可引起肝、肾损害。慢性中毒：神经衰弱综合征、植物神经功能紊乱、周围神经病。严重中毒出现中毒性脑病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症状类似精神分裂症。皮肤损害。</w:t>
            </w:r>
          </w:p>
        </w:tc>
      </w:tr>
      <w:tr w14:paraId="7B3F1CC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14:paraId="4BCEE077">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437" w:type="dxa"/>
            <w:tcBorders>
              <w:top w:val="single" w:color="auto" w:sz="6" w:space="0"/>
              <w:left w:val="single" w:color="auto" w:sz="6" w:space="0"/>
              <w:bottom w:val="single" w:color="auto" w:sz="6" w:space="0"/>
              <w:right w:val="single" w:color="auto" w:sz="6" w:space="0"/>
            </w:tcBorders>
            <w:vAlign w:val="center"/>
          </w:tcPr>
          <w:p w14:paraId="6015BABC">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2158" w:type="dxa"/>
            <w:gridSpan w:val="2"/>
            <w:tcBorders>
              <w:top w:val="single" w:color="auto" w:sz="6" w:space="0"/>
              <w:left w:val="single" w:color="auto" w:sz="6" w:space="0"/>
              <w:bottom w:val="single" w:color="auto" w:sz="6" w:space="0"/>
              <w:right w:val="single" w:color="auto" w:sz="6" w:space="0"/>
            </w:tcBorders>
            <w:vAlign w:val="center"/>
          </w:tcPr>
          <w:p w14:paraId="565F4D76">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高度易燃</w:t>
            </w:r>
          </w:p>
        </w:tc>
        <w:tc>
          <w:tcPr>
            <w:tcW w:w="2479" w:type="dxa"/>
            <w:gridSpan w:val="6"/>
            <w:tcBorders>
              <w:top w:val="single" w:color="auto" w:sz="6" w:space="0"/>
              <w:left w:val="single" w:color="auto" w:sz="6" w:space="0"/>
              <w:bottom w:val="single" w:color="auto" w:sz="6" w:space="0"/>
              <w:right w:val="single" w:color="auto" w:sz="6" w:space="0"/>
            </w:tcBorders>
            <w:vAlign w:val="center"/>
          </w:tcPr>
          <w:p w14:paraId="60BE11BA">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2" w:type="dxa"/>
            <w:gridSpan w:val="4"/>
            <w:tcBorders>
              <w:top w:val="single" w:color="auto" w:sz="6" w:space="0"/>
              <w:left w:val="single" w:color="auto" w:sz="6" w:space="0"/>
              <w:bottom w:val="single" w:color="auto" w:sz="6" w:space="0"/>
              <w:right w:val="single" w:color="auto" w:sz="6" w:space="0"/>
            </w:tcBorders>
            <w:vAlign w:val="center"/>
          </w:tcPr>
          <w:p w14:paraId="320FC34A">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14:paraId="689D6B3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1"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3C8CB112">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236ACDF">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2158" w:type="dxa"/>
            <w:gridSpan w:val="2"/>
            <w:tcBorders>
              <w:top w:val="single" w:color="auto" w:sz="6" w:space="0"/>
              <w:left w:val="single" w:color="auto" w:sz="6" w:space="0"/>
              <w:bottom w:val="single" w:color="auto" w:sz="6" w:space="0"/>
              <w:right w:val="single" w:color="auto" w:sz="6" w:space="0"/>
            </w:tcBorders>
            <w:vAlign w:val="center"/>
          </w:tcPr>
          <w:p w14:paraId="3FD81FD7">
            <w:pPr>
              <w:pStyle w:val="93"/>
              <w:rPr>
                <w:color w:val="000000" w:themeColor="text1"/>
                <w14:textFill>
                  <w14:solidFill>
                    <w14:schemeClr w14:val="tx1"/>
                  </w14:solidFill>
                </w14:textFill>
              </w:rPr>
            </w:pPr>
            <w:r>
              <w:rPr>
                <w:color w:val="000000" w:themeColor="text1"/>
                <w14:textFill>
                  <w14:solidFill>
                    <w14:schemeClr w14:val="tx1"/>
                  </w14:solidFill>
                </w14:textFill>
              </w:rPr>
              <w:t>＜-50</w:t>
            </w:r>
          </w:p>
        </w:tc>
        <w:tc>
          <w:tcPr>
            <w:tcW w:w="2479" w:type="dxa"/>
            <w:gridSpan w:val="6"/>
            <w:tcBorders>
              <w:top w:val="single" w:color="auto" w:sz="6" w:space="0"/>
              <w:left w:val="single" w:color="auto" w:sz="6" w:space="0"/>
              <w:bottom w:val="single" w:color="auto" w:sz="6" w:space="0"/>
              <w:right w:val="single" w:color="auto" w:sz="6" w:space="0"/>
            </w:tcBorders>
            <w:vAlign w:val="center"/>
          </w:tcPr>
          <w:p w14:paraId="4CEB1D3C">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14:paraId="5A41CFB2">
            <w:pPr>
              <w:pStyle w:val="93"/>
              <w:rPr>
                <w:color w:val="000000" w:themeColor="text1"/>
                <w14:textFill>
                  <w14:solidFill>
                    <w14:schemeClr w14:val="tx1"/>
                  </w14:solidFill>
                </w14:textFill>
              </w:rPr>
            </w:pPr>
            <w:r>
              <w:rPr>
                <w:color w:val="000000" w:themeColor="text1"/>
                <w14:textFill>
                  <w14:solidFill>
                    <w14:schemeClr w14:val="tx1"/>
                  </w14:solidFill>
                </w14:textFill>
              </w:rPr>
              <w:t>6.0</w:t>
            </w:r>
          </w:p>
        </w:tc>
      </w:tr>
      <w:tr w14:paraId="65451EA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4904E9B5">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6252CE7">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2158" w:type="dxa"/>
            <w:gridSpan w:val="2"/>
            <w:tcBorders>
              <w:top w:val="single" w:color="auto" w:sz="6" w:space="0"/>
              <w:left w:val="single" w:color="auto" w:sz="6" w:space="0"/>
              <w:bottom w:val="single" w:color="auto" w:sz="6" w:space="0"/>
              <w:right w:val="single" w:color="auto" w:sz="6" w:space="0"/>
            </w:tcBorders>
            <w:vAlign w:val="center"/>
          </w:tcPr>
          <w:p w14:paraId="2E33AD09">
            <w:pPr>
              <w:pStyle w:val="93"/>
              <w:rPr>
                <w:color w:val="000000" w:themeColor="text1"/>
                <w14:textFill>
                  <w14:solidFill>
                    <w14:schemeClr w14:val="tx1"/>
                  </w14:solidFill>
                </w14:textFill>
              </w:rPr>
            </w:pPr>
            <w:r>
              <w:rPr>
                <w:color w:val="000000" w:themeColor="text1"/>
                <w14:textFill>
                  <w14:solidFill>
                    <w14:schemeClr w14:val="tx1"/>
                  </w14:solidFill>
                </w14:textFill>
              </w:rPr>
              <w:t>415～530</w:t>
            </w:r>
          </w:p>
        </w:tc>
        <w:tc>
          <w:tcPr>
            <w:tcW w:w="2479" w:type="dxa"/>
            <w:gridSpan w:val="6"/>
            <w:tcBorders>
              <w:top w:val="single" w:color="auto" w:sz="6" w:space="0"/>
              <w:left w:val="single" w:color="auto" w:sz="6" w:space="0"/>
              <w:bottom w:val="single" w:color="auto" w:sz="6" w:space="0"/>
              <w:right w:val="single" w:color="auto" w:sz="6" w:space="0"/>
            </w:tcBorders>
            <w:vAlign w:val="center"/>
          </w:tcPr>
          <w:p w14:paraId="7C0C1BC6">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14:paraId="6CEB1B1D">
            <w:pPr>
              <w:pStyle w:val="93"/>
              <w:rPr>
                <w:color w:val="000000" w:themeColor="text1"/>
                <w14:textFill>
                  <w14:solidFill>
                    <w14:schemeClr w14:val="tx1"/>
                  </w14:solidFill>
                </w14:textFill>
              </w:rPr>
            </w:pPr>
            <w:r>
              <w:rPr>
                <w:color w:val="000000" w:themeColor="text1"/>
                <w14:textFill>
                  <w14:solidFill>
                    <w14:schemeClr w14:val="tx1"/>
                  </w14:solidFill>
                </w14:textFill>
              </w:rPr>
              <w:t>1.3</w:t>
            </w:r>
          </w:p>
        </w:tc>
      </w:tr>
      <w:tr w14:paraId="7AA696E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2CC93592">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328AA7D">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331D2863">
            <w:pPr>
              <w:pStyle w:val="93"/>
              <w:rPr>
                <w:color w:val="000000" w:themeColor="text1"/>
                <w14:textFill>
                  <w14:solidFill>
                    <w14:schemeClr w14:val="tx1"/>
                  </w14:solidFill>
                </w14:textFill>
              </w:rPr>
            </w:pPr>
            <w:r>
              <w:rPr>
                <w:color w:val="000000" w:themeColor="text1"/>
                <w14:textFill>
                  <w14:solidFill>
                    <w14:schemeClr w14:val="tx1"/>
                  </w14:solidFill>
                </w14:textFill>
              </w:rPr>
              <w:t>其蒸气与空气可形成爆炸性混合物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遇明火、高热极易燃烧爆炸。与氧化剂能发生强烈反应。其蒸气比空气重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能在较低处扩散到相当远的地方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遇火源会着火回燃。</w:t>
            </w:r>
          </w:p>
        </w:tc>
      </w:tr>
      <w:tr w14:paraId="71C36F0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3C15D5BD">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77F07CB0">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750" w:type="dxa"/>
            <w:tcBorders>
              <w:top w:val="single" w:color="auto" w:sz="6" w:space="0"/>
              <w:left w:val="single" w:color="auto" w:sz="6" w:space="0"/>
              <w:bottom w:val="single" w:color="auto" w:sz="6" w:space="0"/>
              <w:right w:val="single" w:color="auto" w:sz="6" w:space="0"/>
            </w:tcBorders>
            <w:vAlign w:val="center"/>
          </w:tcPr>
          <w:p w14:paraId="134E2F3E">
            <w:pPr>
              <w:pStyle w:val="93"/>
              <w:rPr>
                <w:color w:val="000000" w:themeColor="text1"/>
                <w14:textFill>
                  <w14:solidFill>
                    <w14:schemeClr w14:val="tx1"/>
                  </w14:solidFill>
                </w14:textFill>
              </w:rPr>
            </w:pPr>
            <w:r>
              <w:rPr>
                <w:color w:val="000000" w:themeColor="text1"/>
                <w14:textFill>
                  <w14:solidFill>
                    <w14:schemeClr w14:val="tx1"/>
                  </w14:solidFill>
                </w14:textFill>
              </w:rPr>
              <w:t>甲</w:t>
            </w:r>
          </w:p>
        </w:tc>
        <w:tc>
          <w:tcPr>
            <w:tcW w:w="1346" w:type="dxa"/>
            <w:gridSpan w:val="3"/>
            <w:tcBorders>
              <w:top w:val="single" w:color="auto" w:sz="6" w:space="0"/>
              <w:left w:val="single" w:color="auto" w:sz="6" w:space="0"/>
              <w:bottom w:val="single" w:color="auto" w:sz="6" w:space="0"/>
              <w:right w:val="single" w:color="auto" w:sz="6" w:space="0"/>
            </w:tcBorders>
            <w:vAlign w:val="center"/>
          </w:tcPr>
          <w:p w14:paraId="7F163130">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5" w:type="dxa"/>
            <w:gridSpan w:val="3"/>
            <w:tcBorders>
              <w:top w:val="single" w:color="auto" w:sz="6" w:space="0"/>
              <w:left w:val="single" w:color="auto" w:sz="6" w:space="0"/>
              <w:bottom w:val="single" w:color="auto" w:sz="6" w:space="0"/>
              <w:right w:val="single" w:color="auto" w:sz="6" w:space="0"/>
            </w:tcBorders>
            <w:vAlign w:val="center"/>
          </w:tcPr>
          <w:p w14:paraId="34A580E9">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2" w:type="dxa"/>
            <w:gridSpan w:val="4"/>
            <w:tcBorders>
              <w:top w:val="single" w:color="auto" w:sz="6" w:space="0"/>
              <w:left w:val="single" w:color="auto" w:sz="6" w:space="0"/>
              <w:bottom w:val="single" w:color="auto" w:sz="6" w:space="0"/>
              <w:right w:val="single" w:color="auto" w:sz="6" w:space="0"/>
            </w:tcBorders>
            <w:vAlign w:val="center"/>
          </w:tcPr>
          <w:p w14:paraId="3F32F00F">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46" w:type="dxa"/>
            <w:tcBorders>
              <w:top w:val="single" w:color="auto" w:sz="6" w:space="0"/>
              <w:left w:val="single" w:color="auto" w:sz="6" w:space="0"/>
              <w:bottom w:val="single" w:color="auto" w:sz="6" w:space="0"/>
              <w:right w:val="single" w:color="auto" w:sz="6" w:space="0"/>
            </w:tcBorders>
            <w:vAlign w:val="center"/>
          </w:tcPr>
          <w:p w14:paraId="071A04DA">
            <w:pPr>
              <w:pStyle w:val="93"/>
              <w:rPr>
                <w:color w:val="000000" w:themeColor="text1"/>
                <w14:textFill>
                  <w14:solidFill>
                    <w14:schemeClr w14:val="tx1"/>
                  </w14:solidFill>
                </w14:textFill>
              </w:rPr>
            </w:pPr>
            <w:r>
              <w:rPr>
                <w:color w:val="000000" w:themeColor="text1"/>
                <w14:textFill>
                  <w14:solidFill>
                    <w14:schemeClr w14:val="tx1"/>
                  </w14:solidFill>
                </w14:textFill>
              </w:rPr>
              <w:t>不出现</w:t>
            </w:r>
          </w:p>
        </w:tc>
      </w:tr>
      <w:tr w14:paraId="43BAB34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08863E22">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7332F4C1">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2F94548A">
            <w:pPr>
              <w:pStyle w:val="93"/>
              <w:rPr>
                <w:color w:val="000000" w:themeColor="text1"/>
                <w14:textFill>
                  <w14:solidFill>
                    <w14:schemeClr w14:val="tx1"/>
                  </w14:solidFill>
                </w14:textFill>
              </w:rPr>
            </w:pPr>
            <w:r>
              <w:rPr>
                <w:color w:val="000000" w:themeColor="text1"/>
                <w14:textFill>
                  <w14:solidFill>
                    <w14:schemeClr w14:val="tx1"/>
                  </w14:solidFill>
                </w14:textFill>
              </w:rPr>
              <w:t>强氧化剂</w:t>
            </w:r>
          </w:p>
        </w:tc>
      </w:tr>
      <w:tr w14:paraId="4E986E0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14:paraId="3850809C">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61A219EF">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0D25165D">
            <w:pPr>
              <w:pStyle w:val="93"/>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可能的话将容器从火场移至空旷处。灭火剂：泡沫、干粉、二氧化碳。用水灭火无效。</w:t>
            </w:r>
          </w:p>
        </w:tc>
      </w:tr>
      <w:tr w14:paraId="433988B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14:paraId="66C3306C">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437" w:type="dxa"/>
            <w:tcBorders>
              <w:top w:val="single" w:color="auto" w:sz="6" w:space="0"/>
              <w:left w:val="single" w:color="auto" w:sz="6" w:space="0"/>
              <w:bottom w:val="single" w:color="auto" w:sz="6" w:space="0"/>
              <w:right w:val="single" w:color="auto" w:sz="6" w:space="0"/>
            </w:tcBorders>
            <w:vAlign w:val="center"/>
          </w:tcPr>
          <w:p w14:paraId="4168A867">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5257D97C">
            <w:pPr>
              <w:pStyle w:val="93"/>
              <w:rPr>
                <w:color w:val="000000" w:themeColor="text1"/>
                <w14:textFill>
                  <w14:solidFill>
                    <w14:schemeClr w14:val="tx1"/>
                  </w14:solidFill>
                </w14:textFill>
              </w:rPr>
            </w:pPr>
            <w:r>
              <w:rPr>
                <w:color w:val="000000" w:themeColor="text1"/>
                <w14:textFill>
                  <w14:solidFill>
                    <w14:schemeClr w14:val="tx1"/>
                  </w14:solidFill>
                </w14:textFill>
              </w:rPr>
              <w:t>LD50：67000mg/kg</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小鼠经口</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p w14:paraId="31D7F923">
            <w:pPr>
              <w:pStyle w:val="93"/>
              <w:rPr>
                <w:color w:val="000000" w:themeColor="text1"/>
                <w14:textFill>
                  <w14:solidFill>
                    <w14:schemeClr w14:val="tx1"/>
                  </w14:solidFill>
                </w14:textFill>
              </w:rPr>
            </w:pPr>
            <w:r>
              <w:rPr>
                <w:color w:val="000000" w:themeColor="text1"/>
                <w14:textFill>
                  <w14:solidFill>
                    <w14:schemeClr w14:val="tx1"/>
                  </w14:solidFill>
                </w14:textFill>
              </w:rPr>
              <w:t>LC50：100000mg/</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2小时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小鼠吸入</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tc>
      </w:tr>
      <w:tr w14:paraId="6FAB729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332286A7">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22C6DE0D">
            <w:pPr>
              <w:pStyle w:val="93"/>
              <w:rPr>
                <w:color w:val="000000" w:themeColor="text1"/>
                <w14:textFill>
                  <w14:solidFill>
                    <w14:schemeClr w14:val="tx1"/>
                  </w14:solidFill>
                </w14:textFill>
              </w:rPr>
            </w:pPr>
            <w:r>
              <w:rPr>
                <w:color w:val="000000" w:themeColor="text1"/>
                <w14:textFill>
                  <w14:solidFill>
                    <w14:schemeClr w14:val="tx1"/>
                  </w14:solidFill>
                </w14:textFill>
              </w:rPr>
              <w:t>刺激性</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1894CC89">
            <w:pPr>
              <w:pStyle w:val="93"/>
              <w:rPr>
                <w:color w:val="000000" w:themeColor="text1"/>
                <w14:textFill>
                  <w14:solidFill>
                    <w14:schemeClr w14:val="tx1"/>
                  </w14:solidFill>
                </w14:textFill>
              </w:rPr>
            </w:pPr>
            <w:r>
              <w:rPr>
                <w:color w:val="000000" w:themeColor="text1"/>
                <w14:textFill>
                  <w14:solidFill>
                    <w14:schemeClr w14:val="tx1"/>
                  </w14:solidFill>
                </w14:textFill>
              </w:rPr>
              <w:t>人经眼：140ppm/8小时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轻度刺激。</w:t>
            </w:r>
          </w:p>
        </w:tc>
      </w:tr>
      <w:tr w14:paraId="71E4370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3EC06028">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13CA8CE5">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240D62C8">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该物质对环境可能有危害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对水体应给予特别注意。</w:t>
            </w:r>
          </w:p>
        </w:tc>
      </w:tr>
      <w:tr w14:paraId="71F1C2E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50676CED">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0171C8C">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37AF6F29">
            <w:pPr>
              <w:pStyle w:val="93"/>
              <w:rPr>
                <w:color w:val="000000" w:themeColor="text1"/>
                <w14:textFill>
                  <w14:solidFill>
                    <w14:schemeClr w14:val="tx1"/>
                  </w14:solidFill>
                </w14:textFill>
              </w:rPr>
            </w:pPr>
            <w:r>
              <w:rPr>
                <w:color w:val="000000" w:themeColor="text1"/>
                <w14:textFill>
                  <w14:solidFill>
                    <w14:schemeClr w14:val="tx1"/>
                  </w14:solidFill>
                </w14:textFill>
              </w:rPr>
              <w:t>用焚烧法处置。</w:t>
            </w:r>
          </w:p>
        </w:tc>
      </w:tr>
      <w:tr w14:paraId="148263B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14:paraId="65EEF047">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437" w:type="dxa"/>
            <w:tcBorders>
              <w:top w:val="single" w:color="auto" w:sz="6" w:space="0"/>
              <w:left w:val="single" w:color="auto" w:sz="6" w:space="0"/>
              <w:bottom w:val="single" w:color="auto" w:sz="6" w:space="0"/>
              <w:right w:val="single" w:color="auto" w:sz="6" w:space="0"/>
            </w:tcBorders>
            <w:vAlign w:val="center"/>
          </w:tcPr>
          <w:p w14:paraId="65B37189">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529" w:type="dxa"/>
            <w:gridSpan w:val="5"/>
            <w:tcBorders>
              <w:top w:val="single" w:color="auto" w:sz="6" w:space="0"/>
              <w:left w:val="single" w:color="auto" w:sz="6" w:space="0"/>
              <w:bottom w:val="single" w:color="auto" w:sz="6" w:space="0"/>
              <w:right w:val="single" w:color="auto" w:sz="6" w:space="0"/>
            </w:tcBorders>
            <w:vAlign w:val="center"/>
          </w:tcPr>
          <w:p w14:paraId="06AC2724">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14:paraId="2C72F0CC">
            <w:pPr>
              <w:pStyle w:val="93"/>
              <w:rPr>
                <w:color w:val="000000" w:themeColor="text1"/>
                <w14:textFill>
                  <w14:solidFill>
                    <w14:schemeClr w14:val="tx1"/>
                  </w14:solidFill>
                </w14:textFill>
              </w:rPr>
            </w:pPr>
            <w:r>
              <w:rPr>
                <w:color w:val="000000" w:themeColor="text1"/>
                <w14:textFill>
                  <w14:solidFill>
                    <w14:schemeClr w14:val="tx1"/>
                  </w14:solidFill>
                </w14:textFill>
              </w:rPr>
              <w:t>生殖细胞致突变性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类别1B</w:t>
            </w:r>
          </w:p>
          <w:p w14:paraId="53FB6EBB">
            <w:pPr>
              <w:pStyle w:val="93"/>
              <w:rPr>
                <w:color w:val="000000" w:themeColor="text1"/>
                <w14:textFill>
                  <w14:solidFill>
                    <w14:schemeClr w14:val="tx1"/>
                  </w14:solidFill>
                </w14:textFill>
              </w:rPr>
            </w:pPr>
            <w:r>
              <w:rPr>
                <w:color w:val="000000" w:themeColor="text1"/>
                <w14:textFill>
                  <w14:solidFill>
                    <w14:schemeClr w14:val="tx1"/>
                  </w14:solidFill>
                </w14:textFill>
              </w:rPr>
              <w:t>致癌性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14:paraId="2AA5108C">
            <w:pPr>
              <w:pStyle w:val="93"/>
              <w:rPr>
                <w:color w:val="000000" w:themeColor="text1"/>
                <w14:textFill>
                  <w14:solidFill>
                    <w14:schemeClr w14:val="tx1"/>
                  </w14:solidFill>
                </w14:textFill>
              </w:rPr>
            </w:pPr>
            <w:r>
              <w:rPr>
                <w:color w:val="000000" w:themeColor="text1"/>
                <w14:textFill>
                  <w14:solidFill>
                    <w14:schemeClr w14:val="tx1"/>
                  </w14:solidFill>
                </w14:textFill>
              </w:rPr>
              <w:t>吸入危害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w:t>
            </w:r>
          </w:p>
          <w:p w14:paraId="176EAB4B">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危害水生环境-急性危害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14:paraId="1ED91E03">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危害水生环境-长期危害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tc>
        <w:tc>
          <w:tcPr>
            <w:tcW w:w="1811" w:type="dxa"/>
            <w:gridSpan w:val="4"/>
            <w:tcBorders>
              <w:top w:val="single" w:color="auto" w:sz="6" w:space="0"/>
              <w:left w:val="single" w:color="auto" w:sz="6" w:space="0"/>
              <w:bottom w:val="single" w:color="auto" w:sz="6" w:space="0"/>
              <w:right w:val="single" w:color="auto" w:sz="6" w:space="0"/>
            </w:tcBorders>
            <w:vAlign w:val="center"/>
          </w:tcPr>
          <w:p w14:paraId="68B85D7C">
            <w:pPr>
              <w:pStyle w:val="93"/>
              <w:rPr>
                <w:color w:val="000000" w:themeColor="text1"/>
                <w14:textFill>
                  <w14:solidFill>
                    <w14:schemeClr w14:val="tx1"/>
                  </w14:solidFill>
                </w14:textFill>
              </w:rPr>
            </w:pPr>
            <w:r>
              <w:rPr>
                <w:color w:val="000000" w:themeColor="text1"/>
                <w14:textFill>
                  <w14:solidFill>
                    <w14:schemeClr w14:val="tx1"/>
                  </w14:solidFill>
                </w14:textFill>
              </w:rPr>
              <w:t>包装类别</w:t>
            </w:r>
          </w:p>
        </w:tc>
        <w:tc>
          <w:tcPr>
            <w:tcW w:w="1639" w:type="dxa"/>
            <w:gridSpan w:val="3"/>
            <w:tcBorders>
              <w:top w:val="single" w:color="auto" w:sz="6" w:space="0"/>
              <w:left w:val="single" w:color="auto" w:sz="6" w:space="0"/>
              <w:bottom w:val="single" w:color="auto" w:sz="6" w:space="0"/>
              <w:right w:val="single" w:color="auto" w:sz="6" w:space="0"/>
            </w:tcBorders>
            <w:vAlign w:val="center"/>
          </w:tcPr>
          <w:p w14:paraId="56BBCBDE">
            <w:pPr>
              <w:pStyle w:val="93"/>
              <w:rPr>
                <w:color w:val="000000" w:themeColor="text1"/>
                <w14:textFill>
                  <w14:solidFill>
                    <w14:schemeClr w14:val="tx1"/>
                  </w14:solidFill>
                </w14:textFill>
              </w:rPr>
            </w:pPr>
            <w:r>
              <w:rPr>
                <w:color w:val="000000" w:themeColor="text1"/>
                <w14:textFill>
                  <w14:solidFill>
                    <w14:schemeClr w14:val="tx1"/>
                  </w14:solidFill>
                </w14:textFill>
              </w:rPr>
              <w:t>052</w:t>
            </w:r>
          </w:p>
        </w:tc>
      </w:tr>
      <w:tr w14:paraId="5797776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405411D0">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274377EC">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22CDE57B">
            <w:pPr>
              <w:pStyle w:val="93"/>
              <w:rPr>
                <w:color w:val="000000" w:themeColor="text1"/>
                <w14:textFill>
                  <w14:solidFill>
                    <w14:schemeClr w14:val="tx1"/>
                  </w14:solidFill>
                </w14:textFill>
              </w:rPr>
            </w:pPr>
            <w:r>
              <w:rPr>
                <w:color w:val="000000" w:themeColor="text1"/>
                <w14:textFill>
                  <w14:solidFill>
                    <w14:schemeClr w14:val="tx1"/>
                  </w14:solidFill>
                </w14:textFill>
              </w:rPr>
              <w:t>小开口钢桶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安瓿瓶外普通木箱</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螺纹口玻璃瓶、铁盖压口玻璃瓶、塑料瓶或金属桶（罐）外普通木箱。</w:t>
            </w:r>
          </w:p>
        </w:tc>
      </w:tr>
      <w:tr w14:paraId="1CEA49A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2864E3B2">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7AF1F3DE">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673FE553">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储存于阴凉、通风的库房。远离火种、热源。库温不宜超过30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。保持容器密封。应与氧化剂分开存放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14:paraId="36A820A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5A3675B5">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169E983">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7B3C2751">
            <w:pPr>
              <w:pStyle w:val="93"/>
              <w:rPr>
                <w:color w:val="000000" w:themeColor="text1"/>
                <w14:textFill>
                  <w14:solidFill>
                    <w14:schemeClr w14:val="tx1"/>
                  </w14:solidFill>
                </w14:textFill>
              </w:rPr>
            </w:pPr>
            <w:r>
              <w:rPr>
                <w:color w:val="000000" w:themeColor="text1"/>
                <w14:textFill>
                  <w14:solidFill>
                    <w14:schemeClr w14:val="tx1"/>
                  </w14:solidFill>
                </w14:textFill>
              </w:rPr>
              <w:t>本品铁路运输时限使用钢制企业自备罐车装运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装运前需报有关部门批准。运输时运输车辆应配备相应品种和数量的消防器材及泄漏应急处理设备。夏季最好早晚运输。运输时所用的槽（罐）车应有接地链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w:t>
            </w:r>
            <w:r>
              <w:rPr>
                <w:color w:val="000000" w:themeColor="text1"/>
                <w14:textFill>
                  <w14:solidFill>
                    <w14:schemeClr w14:val="tx1"/>
                  </w14:solidFill>
                </w14:textFill>
              </w:rPr>
              <w:t>荡产生静电。严禁与氧化剂等混装混运。运输途中应防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禁止使用易产生火花的机械设备和工具装卸。公路运输时要按规定路线行驶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勿在居民区和人口稠密区停留。铁路运输时要禁止溜放。严禁用木船、水泥船散装运输。 </w:t>
            </w:r>
          </w:p>
        </w:tc>
      </w:tr>
      <w:tr w14:paraId="39BDE92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4FDDF162">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F17E9A9">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6A798A65">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工作场所严禁吸烟。使用防爆型的通风系统和设备。防止蒸气泄漏到工作场所空气中。避免与氧化剂接触。灌装时应控制流速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14:paraId="70FA8BB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14:paraId="557456BD">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437" w:type="dxa"/>
            <w:tcBorders>
              <w:top w:val="single" w:color="auto" w:sz="6" w:space="0"/>
              <w:left w:val="single" w:color="auto" w:sz="6" w:space="0"/>
              <w:bottom w:val="single" w:color="auto" w:sz="6" w:space="0"/>
              <w:right w:val="single" w:color="auto" w:sz="6" w:space="0"/>
            </w:tcBorders>
            <w:vAlign w:val="center"/>
          </w:tcPr>
          <w:p w14:paraId="49088879">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05391FE4">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14:paraId="102385B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69D5BF73">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5E2B53D">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14863253">
            <w:pPr>
              <w:pStyle w:val="93"/>
              <w:rPr>
                <w:color w:val="000000" w:themeColor="text1"/>
                <w14:textFill>
                  <w14:solidFill>
                    <w14:schemeClr w14:val="tx1"/>
                  </w14:solidFill>
                </w14:textFill>
              </w:rPr>
            </w:pPr>
            <w:r>
              <w:rPr>
                <w:color w:val="000000" w:themeColor="text1"/>
                <w14:textFill>
                  <w14:solidFill>
                    <w14:schemeClr w14:val="tx1"/>
                  </w14:solidFill>
                </w14:textFill>
              </w:rPr>
              <w:t>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用大量流动清水或生理盐水彻底冲洗至少15分钟。就医。</w:t>
            </w:r>
          </w:p>
        </w:tc>
      </w:tr>
      <w:tr w14:paraId="70EFD6B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00E55CE4">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15835808">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4C57FFC8">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14:paraId="667135C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6E053254">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3ADFB3F">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1165FAE8">
            <w:pPr>
              <w:pStyle w:val="93"/>
              <w:rPr>
                <w:color w:val="000000" w:themeColor="text1"/>
                <w14:textFill>
                  <w14:solidFill>
                    <w14:schemeClr w14:val="tx1"/>
                  </w14:solidFill>
                </w14:textFill>
              </w:rPr>
            </w:pPr>
            <w:r>
              <w:rPr>
                <w:color w:val="000000" w:themeColor="text1"/>
                <w14:textFill>
                  <w14:solidFill>
                    <w14:schemeClr w14:val="tx1"/>
                  </w14:solidFill>
                </w14:textFill>
              </w:rPr>
              <w:t>给饮牛奶或用植物油洗胃和灌肠。就医。</w:t>
            </w:r>
          </w:p>
        </w:tc>
      </w:tr>
      <w:tr w14:paraId="4938873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14:paraId="6DE7EDC8">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437" w:type="dxa"/>
            <w:tcBorders>
              <w:top w:val="single" w:color="auto" w:sz="6" w:space="0"/>
              <w:left w:val="single" w:color="auto" w:sz="6" w:space="0"/>
              <w:bottom w:val="single" w:color="auto" w:sz="6" w:space="0"/>
              <w:right w:val="single" w:color="auto" w:sz="6" w:space="0"/>
            </w:tcBorders>
            <w:vAlign w:val="center"/>
          </w:tcPr>
          <w:p w14:paraId="09421E25">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4B816418">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14:paraId="400F38D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0B1CB0BF">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2DE2EA7E">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5E9B04CF">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高浓度接触时可佩戴自吸过滤式防毒面具（半面罩）。</w:t>
            </w:r>
          </w:p>
        </w:tc>
      </w:tr>
      <w:tr w14:paraId="65895EF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582241DC">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5D3567A0">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04C7D7E0">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高浓度接触时可戴化学安全防护眼镜。</w:t>
            </w:r>
          </w:p>
        </w:tc>
      </w:tr>
      <w:tr w14:paraId="532F561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07707D23">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196C74CD">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35A79974">
            <w:pPr>
              <w:pStyle w:val="93"/>
              <w:rPr>
                <w:color w:val="000000" w:themeColor="text1"/>
                <w14:textFill>
                  <w14:solidFill>
                    <w14:schemeClr w14:val="tx1"/>
                  </w14:solidFill>
                </w14:textFill>
              </w:rPr>
            </w:pPr>
            <w:r>
              <w:rPr>
                <w:color w:val="000000" w:themeColor="text1"/>
                <w14:textFill>
                  <w14:solidFill>
                    <w14:schemeClr w14:val="tx1"/>
                  </w14:solidFill>
                </w14:textFill>
              </w:rPr>
              <w:t>穿防静电工作服。</w:t>
            </w:r>
          </w:p>
        </w:tc>
      </w:tr>
      <w:tr w14:paraId="63C99F2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14:paraId="249D3329">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4C3DF2A2">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7570A060">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14:paraId="2452E6B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14:paraId="00FF4A6C">
            <w:pPr>
              <w:pStyle w:val="93"/>
              <w:rPr>
                <w:color w:val="000000" w:themeColor="text1"/>
                <w14:textFill>
                  <w14:solidFill>
                    <w14:schemeClr w14:val="tx1"/>
                  </w14:solidFill>
                </w14:textFill>
              </w:rPr>
            </w:pPr>
          </w:p>
        </w:tc>
        <w:tc>
          <w:tcPr>
            <w:tcW w:w="1437" w:type="dxa"/>
            <w:tcBorders>
              <w:top w:val="single" w:color="auto" w:sz="6" w:space="0"/>
              <w:left w:val="single" w:color="auto" w:sz="6" w:space="0"/>
              <w:bottom w:val="single" w:color="auto" w:sz="6" w:space="0"/>
              <w:right w:val="single" w:color="auto" w:sz="6" w:space="0"/>
            </w:tcBorders>
            <w:vAlign w:val="center"/>
          </w:tcPr>
          <w:p w14:paraId="29972179">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979" w:type="dxa"/>
            <w:gridSpan w:val="12"/>
            <w:tcBorders>
              <w:top w:val="single" w:color="auto" w:sz="6" w:space="0"/>
              <w:left w:val="single" w:color="auto" w:sz="6" w:space="0"/>
              <w:bottom w:val="single" w:color="auto" w:sz="6" w:space="0"/>
              <w:right w:val="single" w:color="auto" w:sz="6" w:space="0"/>
            </w:tcBorders>
            <w:vAlign w:val="center"/>
          </w:tcPr>
          <w:p w14:paraId="5D5FB634">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14:paraId="42C8ED6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tcBorders>
              <w:top w:val="single" w:color="auto" w:sz="6" w:space="0"/>
              <w:left w:val="single" w:color="auto" w:sz="6" w:space="0"/>
              <w:bottom w:val="single" w:color="auto" w:sz="6" w:space="0"/>
              <w:right w:val="single" w:color="auto" w:sz="6" w:space="0"/>
            </w:tcBorders>
            <w:vAlign w:val="center"/>
          </w:tcPr>
          <w:p w14:paraId="630136DB">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6" w:type="dxa"/>
            <w:gridSpan w:val="13"/>
            <w:tcBorders>
              <w:top w:val="single" w:color="auto" w:sz="6" w:space="0"/>
              <w:left w:val="single" w:color="auto" w:sz="6" w:space="0"/>
              <w:bottom w:val="single" w:color="auto" w:sz="6" w:space="0"/>
              <w:right w:val="single" w:color="auto" w:sz="6" w:space="0"/>
            </w:tcBorders>
            <w:vAlign w:val="center"/>
          </w:tcPr>
          <w:p w14:paraId="1401153B">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穿防静电工作服。尽可能切断泄漏源。防止流入下水道、排洪沟等限制性空间。小量泄漏：用砂土、蛭石或其它惰性材料吸收。或在保证安全情况下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就地焚烧。大量泄漏：构筑围堤或挖坑收容。用泡沫覆盖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降低蒸气灾害。用防爆泵转移至槽车或专用收集器内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14:paraId="505E8511">
      <w:pPr>
        <w:pStyle w:val="4"/>
        <w:ind w:firstLine="562"/>
        <w:rPr>
          <w:color w:val="000000" w:themeColor="text1"/>
          <w14:textFill>
            <w14:solidFill>
              <w14:schemeClr w14:val="tx1"/>
            </w14:solidFill>
          </w14:textFill>
        </w:rPr>
      </w:pPr>
      <w:bookmarkStart w:id="266" w:name="_Toc5399"/>
      <w:r>
        <w:rPr>
          <w:rFonts w:hint="eastAsia"/>
          <w:color w:val="000000" w:themeColor="text1"/>
          <w14:textFill>
            <w14:solidFill>
              <w14:schemeClr w14:val="tx1"/>
            </w14:solidFill>
          </w14:textFill>
        </w:rPr>
        <w:t>柴油的危险特性</w:t>
      </w:r>
      <w:bookmarkEnd w:id="263"/>
      <w:bookmarkEnd w:id="264"/>
      <w:bookmarkEnd w:id="265"/>
      <w:bookmarkEnd w:id="266"/>
    </w:p>
    <w:p w14:paraId="3CF0F9CF">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柴油理化特性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4"/>
        <w:gridCol w:w="1481"/>
        <w:gridCol w:w="1705"/>
        <w:gridCol w:w="408"/>
        <w:gridCol w:w="221"/>
        <w:gridCol w:w="717"/>
        <w:gridCol w:w="540"/>
        <w:gridCol w:w="31"/>
        <w:gridCol w:w="453"/>
        <w:gridCol w:w="515"/>
        <w:gridCol w:w="889"/>
        <w:gridCol w:w="206"/>
        <w:gridCol w:w="321"/>
        <w:gridCol w:w="930"/>
      </w:tblGrid>
      <w:tr w14:paraId="6B603DF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14:paraId="4931786A">
            <w:pPr>
              <w:pStyle w:val="93"/>
              <w:rPr>
                <w:color w:val="000000" w:themeColor="text1"/>
                <w14:textFill>
                  <w14:solidFill>
                    <w14:schemeClr w14:val="tx1"/>
                  </w14:solidFill>
                </w14:textFill>
              </w:rPr>
            </w:pPr>
            <w:bookmarkStart w:id="267" w:name="_Toc360569545"/>
            <w:bookmarkStart w:id="268" w:name="_Toc363315940"/>
            <w:bookmarkStart w:id="269" w:name="_Toc456527708"/>
            <w:r>
              <w:rPr>
                <w:color w:val="000000" w:themeColor="text1"/>
                <w14:textFill>
                  <w14:solidFill>
                    <w14:schemeClr w14:val="tx1"/>
                  </w14:solidFill>
                </w14:textFill>
              </w:rPr>
              <w:t>标识</w:t>
            </w:r>
          </w:p>
        </w:tc>
        <w:tc>
          <w:tcPr>
            <w:tcW w:w="1481" w:type="dxa"/>
            <w:tcBorders>
              <w:top w:val="single" w:color="auto" w:sz="6" w:space="0"/>
              <w:left w:val="single" w:color="auto" w:sz="6" w:space="0"/>
              <w:bottom w:val="single" w:color="auto" w:sz="6" w:space="0"/>
              <w:right w:val="single" w:color="auto" w:sz="6" w:space="0"/>
            </w:tcBorders>
            <w:vAlign w:val="center"/>
          </w:tcPr>
          <w:p w14:paraId="220A7639">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591" w:type="dxa"/>
            <w:gridSpan w:val="5"/>
            <w:tcBorders>
              <w:top w:val="single" w:color="auto" w:sz="6" w:space="0"/>
              <w:left w:val="single" w:color="auto" w:sz="6" w:space="0"/>
              <w:bottom w:val="single" w:color="auto" w:sz="6" w:space="0"/>
              <w:right w:val="single" w:color="auto" w:sz="6" w:space="0"/>
            </w:tcBorders>
            <w:vAlign w:val="center"/>
          </w:tcPr>
          <w:p w14:paraId="35FDAC6A">
            <w:pPr>
              <w:pStyle w:val="93"/>
              <w:rPr>
                <w:color w:val="000000" w:themeColor="text1"/>
                <w14:textFill>
                  <w14:solidFill>
                    <w14:schemeClr w14:val="tx1"/>
                  </w14:solidFill>
                </w14:textFill>
              </w:rPr>
            </w:pPr>
            <w:r>
              <w:rPr>
                <w:color w:val="000000" w:themeColor="text1"/>
                <w14:textFill>
                  <w14:solidFill>
                    <w14:schemeClr w14:val="tx1"/>
                  </w14:solidFill>
                </w14:textFill>
              </w:rPr>
              <w:t>柴油</w:t>
            </w:r>
          </w:p>
        </w:tc>
        <w:tc>
          <w:tcPr>
            <w:tcW w:w="1888" w:type="dxa"/>
            <w:gridSpan w:val="4"/>
            <w:tcBorders>
              <w:top w:val="single" w:color="auto" w:sz="6" w:space="0"/>
              <w:left w:val="single" w:color="auto" w:sz="6" w:space="0"/>
              <w:bottom w:val="single" w:color="auto" w:sz="6" w:space="0"/>
              <w:right w:val="single" w:color="auto" w:sz="6" w:space="0"/>
            </w:tcBorders>
            <w:vAlign w:val="center"/>
          </w:tcPr>
          <w:p w14:paraId="5F0C0DA7">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14:paraId="35A2C2FE">
            <w:pPr>
              <w:pStyle w:val="93"/>
              <w:rPr>
                <w:color w:val="000000" w:themeColor="text1"/>
                <w14:textFill>
                  <w14:solidFill>
                    <w14:schemeClr w14:val="tx1"/>
                  </w14:solidFill>
                </w14:textFill>
              </w:rPr>
            </w:pPr>
            <w:r>
              <w:rPr>
                <w:color w:val="000000" w:themeColor="text1"/>
                <w14:textFill>
                  <w14:solidFill>
                    <w14:schemeClr w14:val="tx1"/>
                  </w14:solidFill>
                </w14:textFill>
              </w:rPr>
              <w:t>1674</w:t>
            </w:r>
          </w:p>
        </w:tc>
      </w:tr>
      <w:tr w14:paraId="0E29EA7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4EBA1D49">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1CFB20A3">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591" w:type="dxa"/>
            <w:gridSpan w:val="5"/>
            <w:tcBorders>
              <w:top w:val="single" w:color="auto" w:sz="6" w:space="0"/>
              <w:left w:val="single" w:color="auto" w:sz="6" w:space="0"/>
              <w:bottom w:val="single" w:color="auto" w:sz="6" w:space="0"/>
              <w:right w:val="single" w:color="auto" w:sz="6" w:space="0"/>
            </w:tcBorders>
            <w:vAlign w:val="center"/>
          </w:tcPr>
          <w:p w14:paraId="72FE0B83">
            <w:pPr>
              <w:pStyle w:val="93"/>
              <w:rPr>
                <w:color w:val="000000" w:themeColor="text1"/>
                <w:lang w:val="de-DE"/>
                <w14:textFill>
                  <w14:solidFill>
                    <w14:schemeClr w14:val="tx1"/>
                  </w14:solidFill>
                </w14:textFill>
              </w:rPr>
            </w:pPr>
            <w:r>
              <w:rPr>
                <w:color w:val="000000" w:themeColor="text1"/>
                <w:lang w:val="de-DE"/>
                <w14:textFill>
                  <w14:solidFill>
                    <w14:schemeClr w14:val="tx1"/>
                  </w14:solidFill>
                </w14:textFill>
              </w:rPr>
              <w:t>Diesel oil</w:t>
            </w:r>
            <w:r>
              <w:rPr>
                <w:rFonts w:hint="eastAsia"/>
                <w:color w:val="000000" w:themeColor="text1"/>
                <w:lang w:val="de-DE"/>
                <w14:textFill>
                  <w14:solidFill>
                    <w14:schemeClr w14:val="tx1"/>
                  </w14:solidFill>
                </w14:textFill>
              </w:rPr>
              <w:t>；</w:t>
            </w:r>
            <w:r>
              <w:rPr>
                <w:color w:val="000000" w:themeColor="text1"/>
                <w:lang w:val="de-DE"/>
                <w14:textFill>
                  <w14:solidFill>
                    <w14:schemeClr w14:val="tx1"/>
                  </w14:solidFill>
                </w14:textFill>
              </w:rPr>
              <w:t>Diesel fuel</w:t>
            </w:r>
          </w:p>
        </w:tc>
        <w:tc>
          <w:tcPr>
            <w:tcW w:w="1888" w:type="dxa"/>
            <w:gridSpan w:val="4"/>
            <w:tcBorders>
              <w:top w:val="single" w:color="auto" w:sz="6" w:space="0"/>
              <w:left w:val="single" w:color="auto" w:sz="6" w:space="0"/>
              <w:bottom w:val="single" w:color="auto" w:sz="6" w:space="0"/>
              <w:right w:val="single" w:color="auto" w:sz="6" w:space="0"/>
            </w:tcBorders>
            <w:vAlign w:val="center"/>
          </w:tcPr>
          <w:p w14:paraId="0ADA7B10">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14:paraId="3EC169C3">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14:paraId="7CE6FFE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14:paraId="760C3879">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481" w:type="dxa"/>
            <w:tcBorders>
              <w:top w:val="single" w:color="auto" w:sz="6" w:space="0"/>
              <w:left w:val="single" w:color="auto" w:sz="6" w:space="0"/>
              <w:bottom w:val="single" w:color="auto" w:sz="6" w:space="0"/>
              <w:right w:val="single" w:color="auto" w:sz="6" w:space="0"/>
            </w:tcBorders>
            <w:vAlign w:val="center"/>
          </w:tcPr>
          <w:p w14:paraId="660E8877">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77D4405E">
            <w:pPr>
              <w:pStyle w:val="93"/>
              <w:rPr>
                <w:color w:val="000000" w:themeColor="text1"/>
                <w14:textFill>
                  <w14:solidFill>
                    <w14:schemeClr w14:val="tx1"/>
                  </w14:solidFill>
                </w14:textFill>
              </w:rPr>
            </w:pPr>
            <w:r>
              <w:rPr>
                <w:color w:val="000000" w:themeColor="text1"/>
                <w14:textFill>
                  <w14:solidFill>
                    <w14:schemeClr w14:val="tx1"/>
                  </w14:solidFill>
                </w14:textFill>
              </w:rPr>
              <w:t>稍有</w:t>
            </w:r>
            <w:r>
              <w:rPr>
                <w:rFonts w:hint="eastAsia"/>
                <w:color w:val="000000" w:themeColor="text1"/>
                <w14:textFill>
                  <w14:solidFill>
                    <w14:schemeClr w14:val="tx1"/>
                  </w14:solidFill>
                </w14:textFill>
              </w:rPr>
              <w:t>黏</w:t>
            </w:r>
            <w:r>
              <w:rPr>
                <w:color w:val="000000" w:themeColor="text1"/>
                <w14:textFill>
                  <w14:solidFill>
                    <w14:schemeClr w14:val="tx1"/>
                  </w14:solidFill>
                </w14:textFill>
              </w:rPr>
              <w:t>性的浅黄至棕色液体。</w:t>
            </w:r>
          </w:p>
        </w:tc>
      </w:tr>
      <w:tr w14:paraId="5FF3B63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1E24DDA8">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82AFDFB">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7557E24">
            <w:pPr>
              <w:pStyle w:val="93"/>
              <w:rPr>
                <w:color w:val="000000" w:themeColor="text1"/>
                <w14:textFill>
                  <w14:solidFill>
                    <w14:schemeClr w14:val="tx1"/>
                  </w14:solidFill>
                </w14:textFill>
              </w:rPr>
            </w:pPr>
            <w:r>
              <w:rPr>
                <w:color w:val="000000" w:themeColor="text1"/>
                <w14:textFill>
                  <w14:solidFill>
                    <w14:schemeClr w14:val="tx1"/>
                  </w14:solidFill>
                </w14:textFill>
              </w:rPr>
              <w:t>烷烃、芳烃、烯烃等。</w:t>
            </w:r>
          </w:p>
        </w:tc>
      </w:tr>
      <w:tr w14:paraId="0ADAE1F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77885183">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45F6B613">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334" w:type="dxa"/>
            <w:gridSpan w:val="3"/>
            <w:tcBorders>
              <w:top w:val="single" w:color="auto" w:sz="6" w:space="0"/>
              <w:left w:val="single" w:color="auto" w:sz="6" w:space="0"/>
              <w:bottom w:val="single" w:color="auto" w:sz="6" w:space="0"/>
              <w:right w:val="single" w:color="auto" w:sz="6" w:space="0"/>
            </w:tcBorders>
            <w:vAlign w:val="center"/>
          </w:tcPr>
          <w:p w14:paraId="236899D4">
            <w:pPr>
              <w:pStyle w:val="93"/>
              <w:rPr>
                <w:color w:val="000000" w:themeColor="text1"/>
                <w14:textFill>
                  <w14:solidFill>
                    <w14:schemeClr w14:val="tx1"/>
                  </w14:solidFill>
                </w14:textFill>
              </w:rPr>
            </w:pPr>
            <w:r>
              <w:rPr>
                <w:color w:val="000000" w:themeColor="text1"/>
                <w14:textFill>
                  <w14:solidFill>
                    <w14:schemeClr w14:val="tx1"/>
                  </w14:solidFill>
                </w14:textFill>
              </w:rPr>
              <w:t>-18</w:t>
            </w:r>
          </w:p>
        </w:tc>
        <w:tc>
          <w:tcPr>
            <w:tcW w:w="2256" w:type="dxa"/>
            <w:gridSpan w:val="5"/>
            <w:tcBorders>
              <w:top w:val="single" w:color="auto" w:sz="6" w:space="0"/>
              <w:left w:val="single" w:color="auto" w:sz="6" w:space="0"/>
              <w:bottom w:val="single" w:color="auto" w:sz="6" w:space="0"/>
              <w:right w:val="single" w:color="auto" w:sz="6" w:space="0"/>
            </w:tcBorders>
            <w:vAlign w:val="center"/>
          </w:tcPr>
          <w:p w14:paraId="26400439">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6" w:type="dxa"/>
            <w:gridSpan w:val="4"/>
            <w:tcBorders>
              <w:top w:val="single" w:color="auto" w:sz="6" w:space="0"/>
              <w:left w:val="single" w:color="auto" w:sz="6" w:space="0"/>
              <w:bottom w:val="single" w:color="auto" w:sz="6" w:space="0"/>
              <w:right w:val="single" w:color="auto" w:sz="6" w:space="0"/>
            </w:tcBorders>
            <w:vAlign w:val="center"/>
          </w:tcPr>
          <w:p w14:paraId="13DC6A9F">
            <w:pPr>
              <w:pStyle w:val="93"/>
              <w:rPr>
                <w:color w:val="000000" w:themeColor="text1"/>
                <w14:textFill>
                  <w14:solidFill>
                    <w14:schemeClr w14:val="tx1"/>
                  </w14:solidFill>
                </w14:textFill>
              </w:rPr>
            </w:pPr>
            <w:r>
              <w:rPr>
                <w:color w:val="000000" w:themeColor="text1"/>
                <w14:textFill>
                  <w14:solidFill>
                    <w14:schemeClr w14:val="tx1"/>
                  </w14:solidFill>
                </w14:textFill>
              </w:rPr>
              <w:t>0.8</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845</w:t>
            </w:r>
          </w:p>
        </w:tc>
      </w:tr>
      <w:tr w14:paraId="670E3B4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3C01E840">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121F498D">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334" w:type="dxa"/>
            <w:gridSpan w:val="3"/>
            <w:tcBorders>
              <w:top w:val="single" w:color="auto" w:sz="6" w:space="0"/>
              <w:left w:val="single" w:color="auto" w:sz="6" w:space="0"/>
              <w:bottom w:val="single" w:color="auto" w:sz="6" w:space="0"/>
              <w:right w:val="single" w:color="auto" w:sz="6" w:space="0"/>
            </w:tcBorders>
            <w:vAlign w:val="center"/>
          </w:tcPr>
          <w:p w14:paraId="3DD64B56">
            <w:pPr>
              <w:pStyle w:val="93"/>
              <w:rPr>
                <w:color w:val="000000" w:themeColor="text1"/>
                <w14:textFill>
                  <w14:solidFill>
                    <w14:schemeClr w14:val="tx1"/>
                  </w14:solidFill>
                </w14:textFill>
              </w:rPr>
            </w:pPr>
            <w:r>
              <w:rPr>
                <w:color w:val="000000" w:themeColor="text1"/>
                <w14:textFill>
                  <w14:solidFill>
                    <w14:schemeClr w14:val="tx1"/>
                  </w14:solidFill>
                </w14:textFill>
              </w:rPr>
              <w:t>282～338</w:t>
            </w:r>
          </w:p>
        </w:tc>
        <w:tc>
          <w:tcPr>
            <w:tcW w:w="2256" w:type="dxa"/>
            <w:gridSpan w:val="5"/>
            <w:tcBorders>
              <w:top w:val="single" w:color="auto" w:sz="6" w:space="0"/>
              <w:left w:val="single" w:color="auto" w:sz="6" w:space="0"/>
              <w:bottom w:val="single" w:color="auto" w:sz="6" w:space="0"/>
              <w:right w:val="single" w:color="auto" w:sz="6" w:space="0"/>
            </w:tcBorders>
            <w:vAlign w:val="center"/>
          </w:tcPr>
          <w:p w14:paraId="67ED0104">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6" w:type="dxa"/>
            <w:gridSpan w:val="4"/>
            <w:tcBorders>
              <w:top w:val="single" w:color="auto" w:sz="6" w:space="0"/>
              <w:left w:val="single" w:color="auto" w:sz="6" w:space="0"/>
              <w:bottom w:val="single" w:color="auto" w:sz="6" w:space="0"/>
              <w:right w:val="single" w:color="auto" w:sz="6" w:space="0"/>
            </w:tcBorders>
            <w:vAlign w:val="center"/>
          </w:tcPr>
          <w:p w14:paraId="2DFC67B4">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14:paraId="1F09E3F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3E770FC4">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001781EA">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5BF4AA0">
            <w:pPr>
              <w:pStyle w:val="93"/>
              <w:rPr>
                <w:color w:val="000000" w:themeColor="text1"/>
                <w14:textFill>
                  <w14:solidFill>
                    <w14:schemeClr w14:val="tx1"/>
                  </w14:solidFill>
                </w14:textFill>
              </w:rPr>
            </w:pPr>
            <w:r>
              <w:rPr>
                <w:color w:val="000000" w:themeColor="text1"/>
                <w14:textFill>
                  <w14:solidFill>
                    <w14:schemeClr w14:val="tx1"/>
                  </w14:solidFill>
                </w14:textFill>
              </w:rPr>
              <w:t>用作柴油机的燃料。</w:t>
            </w:r>
          </w:p>
        </w:tc>
      </w:tr>
      <w:tr w14:paraId="2ED0976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14:paraId="702F7173">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481" w:type="dxa"/>
            <w:tcBorders>
              <w:top w:val="single" w:color="auto" w:sz="6" w:space="0"/>
              <w:left w:val="single" w:color="auto" w:sz="6" w:space="0"/>
              <w:bottom w:val="single" w:color="auto" w:sz="6" w:space="0"/>
              <w:right w:val="single" w:color="auto" w:sz="6" w:space="0"/>
            </w:tcBorders>
            <w:vAlign w:val="center"/>
          </w:tcPr>
          <w:p w14:paraId="230D1E05">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BEEB640">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14:paraId="2E4BC8E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69FBBA6A">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6D4EE1C">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8584779">
            <w:pPr>
              <w:pStyle w:val="93"/>
              <w:rPr>
                <w:color w:val="000000" w:themeColor="text1"/>
                <w14:textFill>
                  <w14:solidFill>
                    <w14:schemeClr w14:val="tx1"/>
                  </w14:solidFill>
                </w14:textFill>
              </w:rPr>
            </w:pPr>
            <w:r>
              <w:rPr>
                <w:color w:val="000000" w:themeColor="text1"/>
                <w14:textFill>
                  <w14:solidFill>
                    <w14:schemeClr w14:val="tx1"/>
                  </w14:solidFill>
                </w14:textFill>
              </w:rPr>
              <w:t>皮肤接触可为主要吸收途径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可致急性肾脏损害。柴油可引起接触性皮炎、油性痤疮。吸入其雾滴或液体呛入可引起吸入性肺炎。能经胎盘进入胎儿血中。柴油废气可引起眼、鼻刺激症状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头晕及头痛。</w:t>
            </w:r>
          </w:p>
        </w:tc>
      </w:tr>
      <w:tr w14:paraId="53E625C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14:paraId="1DFA0220">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481" w:type="dxa"/>
            <w:tcBorders>
              <w:top w:val="single" w:color="auto" w:sz="6" w:space="0"/>
              <w:left w:val="single" w:color="auto" w:sz="6" w:space="0"/>
              <w:bottom w:val="single" w:color="auto" w:sz="6" w:space="0"/>
              <w:right w:val="single" w:color="auto" w:sz="6" w:space="0"/>
            </w:tcBorders>
            <w:vAlign w:val="center"/>
          </w:tcPr>
          <w:p w14:paraId="59F70EF6">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2113" w:type="dxa"/>
            <w:gridSpan w:val="2"/>
            <w:tcBorders>
              <w:top w:val="single" w:color="auto" w:sz="6" w:space="0"/>
              <w:left w:val="single" w:color="auto" w:sz="6" w:space="0"/>
              <w:bottom w:val="single" w:color="auto" w:sz="6" w:space="0"/>
              <w:right w:val="single" w:color="auto" w:sz="6" w:space="0"/>
            </w:tcBorders>
            <w:vAlign w:val="center"/>
          </w:tcPr>
          <w:p w14:paraId="5D16E2DD">
            <w:pPr>
              <w:pStyle w:val="93"/>
              <w:rPr>
                <w:color w:val="000000" w:themeColor="text1"/>
                <w14:textFill>
                  <w14:solidFill>
                    <w14:schemeClr w14:val="tx1"/>
                  </w14:solidFill>
                </w14:textFill>
              </w:rPr>
            </w:pPr>
            <w:r>
              <w:rPr>
                <w:color w:val="000000" w:themeColor="text1"/>
                <w14:textFill>
                  <w14:solidFill>
                    <w14:schemeClr w14:val="tx1"/>
                  </w14:solidFill>
                </w14:textFill>
              </w:rPr>
              <w:t>易燃</w:t>
            </w:r>
          </w:p>
        </w:tc>
        <w:tc>
          <w:tcPr>
            <w:tcW w:w="2477" w:type="dxa"/>
            <w:gridSpan w:val="6"/>
            <w:tcBorders>
              <w:top w:val="single" w:color="auto" w:sz="6" w:space="0"/>
              <w:left w:val="single" w:color="auto" w:sz="6" w:space="0"/>
              <w:bottom w:val="single" w:color="auto" w:sz="6" w:space="0"/>
              <w:right w:val="single" w:color="auto" w:sz="6" w:space="0"/>
            </w:tcBorders>
            <w:vAlign w:val="center"/>
          </w:tcPr>
          <w:p w14:paraId="7CDE7D68">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6" w:type="dxa"/>
            <w:gridSpan w:val="4"/>
            <w:tcBorders>
              <w:top w:val="single" w:color="auto" w:sz="6" w:space="0"/>
              <w:left w:val="single" w:color="auto" w:sz="6" w:space="0"/>
              <w:bottom w:val="single" w:color="auto" w:sz="6" w:space="0"/>
              <w:right w:val="single" w:color="auto" w:sz="6" w:space="0"/>
            </w:tcBorders>
            <w:vAlign w:val="center"/>
          </w:tcPr>
          <w:p w14:paraId="431B1EFF">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14:paraId="030233C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18123C90">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387AB8B9">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2113" w:type="dxa"/>
            <w:gridSpan w:val="2"/>
            <w:tcBorders>
              <w:top w:val="single" w:color="auto" w:sz="6" w:space="0"/>
              <w:left w:val="single" w:color="auto" w:sz="6" w:space="0"/>
              <w:bottom w:val="single" w:color="auto" w:sz="6" w:space="0"/>
              <w:right w:val="single" w:color="auto" w:sz="6" w:space="0"/>
            </w:tcBorders>
            <w:vAlign w:val="center"/>
          </w:tcPr>
          <w:p w14:paraId="2D6F7B18">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≥60</w:t>
            </w:r>
          </w:p>
        </w:tc>
        <w:tc>
          <w:tcPr>
            <w:tcW w:w="2477" w:type="dxa"/>
            <w:gridSpan w:val="6"/>
            <w:tcBorders>
              <w:top w:val="single" w:color="auto" w:sz="6" w:space="0"/>
              <w:left w:val="single" w:color="auto" w:sz="6" w:space="0"/>
              <w:bottom w:val="single" w:color="auto" w:sz="6" w:space="0"/>
              <w:right w:val="single" w:color="auto" w:sz="6" w:space="0"/>
            </w:tcBorders>
            <w:vAlign w:val="center"/>
          </w:tcPr>
          <w:p w14:paraId="15A4E3B1">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14:paraId="07659F04">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14:paraId="738C3F9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40C43638">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7A2D3E66">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2113" w:type="dxa"/>
            <w:gridSpan w:val="2"/>
            <w:tcBorders>
              <w:top w:val="single" w:color="auto" w:sz="6" w:space="0"/>
              <w:left w:val="single" w:color="auto" w:sz="6" w:space="0"/>
              <w:bottom w:val="single" w:color="auto" w:sz="6" w:space="0"/>
              <w:right w:val="single" w:color="auto" w:sz="6" w:space="0"/>
            </w:tcBorders>
            <w:vAlign w:val="center"/>
          </w:tcPr>
          <w:p w14:paraId="18AB8085">
            <w:pPr>
              <w:pStyle w:val="93"/>
              <w:rPr>
                <w:color w:val="000000" w:themeColor="text1"/>
                <w14:textFill>
                  <w14:solidFill>
                    <w14:schemeClr w14:val="tx1"/>
                  </w14:solidFill>
                </w14:textFill>
              </w:rPr>
            </w:pPr>
            <w:r>
              <w:rPr>
                <w:color w:val="000000" w:themeColor="text1"/>
                <w14:textFill>
                  <w14:solidFill>
                    <w14:schemeClr w14:val="tx1"/>
                  </w14:solidFill>
                </w14:textFill>
              </w:rPr>
              <w:t>257</w:t>
            </w:r>
          </w:p>
        </w:tc>
        <w:tc>
          <w:tcPr>
            <w:tcW w:w="2477" w:type="dxa"/>
            <w:gridSpan w:val="6"/>
            <w:tcBorders>
              <w:top w:val="single" w:color="auto" w:sz="6" w:space="0"/>
              <w:left w:val="single" w:color="auto" w:sz="6" w:space="0"/>
              <w:bottom w:val="single" w:color="auto" w:sz="6" w:space="0"/>
              <w:right w:val="single" w:color="auto" w:sz="6" w:space="0"/>
            </w:tcBorders>
            <w:vAlign w:val="center"/>
          </w:tcPr>
          <w:p w14:paraId="74A0127F">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14:paraId="297E7D95">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14:paraId="4E7E7F1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0165658B">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3BF3B742">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1952AA1">
            <w:pPr>
              <w:pStyle w:val="93"/>
              <w:rPr>
                <w:color w:val="000000" w:themeColor="text1"/>
                <w14:textFill>
                  <w14:solidFill>
                    <w14:schemeClr w14:val="tx1"/>
                  </w14:solidFill>
                </w14:textFill>
              </w:rPr>
            </w:pPr>
            <w:r>
              <w:rPr>
                <w:color w:val="000000" w:themeColor="text1"/>
                <w14:textFill>
                  <w14:solidFill>
                    <w14:schemeClr w14:val="tx1"/>
                  </w14:solidFill>
                </w14:textFill>
              </w:rPr>
              <w:t>遇明火、高热或与氧化剂接触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有引起燃烧爆炸的危险。若遇高热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容器内压增大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有开裂和爆炸的危险。</w:t>
            </w:r>
          </w:p>
        </w:tc>
      </w:tr>
      <w:tr w14:paraId="5819E32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5784B6AA">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58D73C24">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705" w:type="dxa"/>
            <w:tcBorders>
              <w:top w:val="single" w:color="auto" w:sz="6" w:space="0"/>
              <w:left w:val="single" w:color="auto" w:sz="6" w:space="0"/>
              <w:bottom w:val="single" w:color="auto" w:sz="6" w:space="0"/>
              <w:right w:val="single" w:color="auto" w:sz="6" w:space="0"/>
            </w:tcBorders>
            <w:vAlign w:val="center"/>
          </w:tcPr>
          <w:p w14:paraId="7C76A512">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丙A</w:t>
            </w:r>
          </w:p>
        </w:tc>
        <w:tc>
          <w:tcPr>
            <w:tcW w:w="1346" w:type="dxa"/>
            <w:gridSpan w:val="3"/>
            <w:tcBorders>
              <w:top w:val="single" w:color="auto" w:sz="6" w:space="0"/>
              <w:left w:val="single" w:color="auto" w:sz="6" w:space="0"/>
              <w:bottom w:val="single" w:color="auto" w:sz="6" w:space="0"/>
              <w:right w:val="single" w:color="auto" w:sz="6" w:space="0"/>
            </w:tcBorders>
            <w:vAlign w:val="center"/>
          </w:tcPr>
          <w:p w14:paraId="2725B51C">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4" w:type="dxa"/>
            <w:gridSpan w:val="3"/>
            <w:tcBorders>
              <w:top w:val="single" w:color="auto" w:sz="6" w:space="0"/>
              <w:left w:val="single" w:color="auto" w:sz="6" w:space="0"/>
              <w:bottom w:val="single" w:color="auto" w:sz="6" w:space="0"/>
              <w:right w:val="single" w:color="auto" w:sz="6" w:space="0"/>
            </w:tcBorders>
            <w:vAlign w:val="center"/>
          </w:tcPr>
          <w:p w14:paraId="144D191D">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0" w:type="dxa"/>
            <w:gridSpan w:val="3"/>
            <w:tcBorders>
              <w:top w:val="single" w:color="auto" w:sz="6" w:space="0"/>
              <w:left w:val="single" w:color="auto" w:sz="6" w:space="0"/>
              <w:bottom w:val="single" w:color="auto" w:sz="6" w:space="0"/>
              <w:right w:val="single" w:color="auto" w:sz="6" w:space="0"/>
            </w:tcBorders>
            <w:vAlign w:val="center"/>
          </w:tcPr>
          <w:p w14:paraId="3EF9D9B5">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51" w:type="dxa"/>
            <w:gridSpan w:val="2"/>
            <w:tcBorders>
              <w:top w:val="single" w:color="auto" w:sz="6" w:space="0"/>
              <w:left w:val="single" w:color="auto" w:sz="6" w:space="0"/>
              <w:bottom w:val="single" w:color="auto" w:sz="6" w:space="0"/>
              <w:right w:val="single" w:color="auto" w:sz="6" w:space="0"/>
            </w:tcBorders>
            <w:vAlign w:val="center"/>
          </w:tcPr>
          <w:p w14:paraId="5EA109F7">
            <w:pPr>
              <w:pStyle w:val="93"/>
              <w:rPr>
                <w:color w:val="000000" w:themeColor="text1"/>
                <w14:textFill>
                  <w14:solidFill>
                    <w14:schemeClr w14:val="tx1"/>
                  </w14:solidFill>
                </w14:textFill>
              </w:rPr>
            </w:pPr>
            <w:r>
              <w:rPr>
                <w:color w:val="000000" w:themeColor="text1"/>
                <w14:textFill>
                  <w14:solidFill>
                    <w14:schemeClr w14:val="tx1"/>
                  </w14:solidFill>
                </w14:textFill>
              </w:rPr>
              <w:t>不能出现</w:t>
            </w:r>
          </w:p>
        </w:tc>
      </w:tr>
      <w:tr w14:paraId="009D1C4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2689818A">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5ABD1CAA">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03B0429">
            <w:pPr>
              <w:pStyle w:val="93"/>
              <w:rPr>
                <w:color w:val="000000" w:themeColor="text1"/>
                <w14:textFill>
                  <w14:solidFill>
                    <w14:schemeClr w14:val="tx1"/>
                  </w14:solidFill>
                </w14:textFill>
              </w:rPr>
            </w:pPr>
            <w:r>
              <w:rPr>
                <w:color w:val="000000" w:themeColor="text1"/>
                <w14:textFill>
                  <w14:solidFill>
                    <w14:schemeClr w14:val="tx1"/>
                  </w14:solidFill>
                </w14:textFill>
              </w:rPr>
              <w:t>强氧化剂、卤素。</w:t>
            </w:r>
          </w:p>
        </w:tc>
      </w:tr>
      <w:tr w14:paraId="49CE696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14:paraId="5C35AC03">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6FF8E642">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6A928F2A">
            <w:pPr>
              <w:pStyle w:val="93"/>
              <w:rPr>
                <w:color w:val="000000" w:themeColor="text1"/>
                <w14:textFill>
                  <w14:solidFill>
                    <w14:schemeClr w14:val="tx1"/>
                  </w14:solidFill>
                </w14:textFill>
              </w:rPr>
            </w:pPr>
            <w:r>
              <w:rPr>
                <w:color w:val="000000" w:themeColor="text1"/>
                <w14:textFill>
                  <w14:solidFill>
                    <w14:schemeClr w14:val="tx1"/>
                  </w14:solidFill>
                </w14:textFill>
              </w:rPr>
              <w:t>消防人员须佩戴防毒面具、穿全身消防服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在上风向灭火。尽可能将容器从火场移至空旷处。喷水保持火场容器冷却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直至灭火结束。处在火场中的容器若已变色或从安全泄压装置中产生声音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必须马上撤离。灭火剂：雾状水、泡沫、干粉、二氧化碳、砂土。</w:t>
            </w:r>
          </w:p>
        </w:tc>
      </w:tr>
      <w:tr w14:paraId="0DC9955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14:paraId="117615D4">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481" w:type="dxa"/>
            <w:tcBorders>
              <w:top w:val="single" w:color="auto" w:sz="6" w:space="0"/>
              <w:left w:val="single" w:color="auto" w:sz="6" w:space="0"/>
              <w:bottom w:val="single" w:color="auto" w:sz="6" w:space="0"/>
              <w:right w:val="single" w:color="auto" w:sz="6" w:space="0"/>
            </w:tcBorders>
            <w:vAlign w:val="center"/>
          </w:tcPr>
          <w:p w14:paraId="6F230E3F">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966B1BC">
            <w:pPr>
              <w:pStyle w:val="93"/>
              <w:rPr>
                <w:color w:val="000000" w:themeColor="text1"/>
                <w14:textFill>
                  <w14:solidFill>
                    <w14:schemeClr w14:val="tx1"/>
                  </w14:solidFill>
                </w14:textFill>
              </w:rPr>
            </w:pPr>
            <w:r>
              <w:rPr>
                <w:color w:val="000000" w:themeColor="text1"/>
                <w14:textFill>
                  <w14:solidFill>
                    <w14:schemeClr w14:val="tx1"/>
                  </w14:solidFill>
                </w14:textFill>
              </w:rPr>
              <w:t>LD50：无资料</w:t>
            </w:r>
          </w:p>
          <w:p w14:paraId="7BE02C6D">
            <w:pPr>
              <w:pStyle w:val="93"/>
              <w:rPr>
                <w:color w:val="000000" w:themeColor="text1"/>
                <w14:textFill>
                  <w14:solidFill>
                    <w14:schemeClr w14:val="tx1"/>
                  </w14:solidFill>
                </w14:textFill>
              </w:rPr>
            </w:pPr>
            <w:r>
              <w:rPr>
                <w:color w:val="000000" w:themeColor="text1"/>
                <w14:textFill>
                  <w14:solidFill>
                    <w14:schemeClr w14:val="tx1"/>
                  </w14:solidFill>
                </w14:textFill>
              </w:rPr>
              <w:t>LC50：无资料</w:t>
            </w:r>
          </w:p>
        </w:tc>
      </w:tr>
      <w:tr w14:paraId="4329683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10C583F7">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FC945A9">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9649010">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建议不要让其进入环境。对水体和大气可造成污染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破坏水生生物呼吸系统。对海藻应给予特别注意。</w:t>
            </w:r>
          </w:p>
        </w:tc>
      </w:tr>
      <w:tr w14:paraId="5D5F376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3C18D519">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4D91ADAF">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59513C52">
            <w:pPr>
              <w:pStyle w:val="93"/>
              <w:rPr>
                <w:color w:val="000000" w:themeColor="text1"/>
                <w14:textFill>
                  <w14:solidFill>
                    <w14:schemeClr w14:val="tx1"/>
                  </w14:solidFill>
                </w14:textFill>
              </w:rPr>
            </w:pPr>
            <w:r>
              <w:rPr>
                <w:color w:val="000000" w:themeColor="text1"/>
                <w14:textFill>
                  <w14:solidFill>
                    <w14:schemeClr w14:val="tx1"/>
                  </w14:solidFill>
                </w14:textFill>
              </w:rPr>
              <w:t>处置前应参阅国家和地方有关法规。建议用焚烧法处置。</w:t>
            </w:r>
          </w:p>
        </w:tc>
      </w:tr>
      <w:tr w14:paraId="7C5FFA6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14:paraId="1C50C3A4">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481" w:type="dxa"/>
            <w:tcBorders>
              <w:top w:val="single" w:color="auto" w:sz="6" w:space="0"/>
              <w:left w:val="single" w:color="auto" w:sz="6" w:space="0"/>
              <w:bottom w:val="single" w:color="auto" w:sz="6" w:space="0"/>
              <w:right w:val="single" w:color="auto" w:sz="6" w:space="0"/>
            </w:tcBorders>
            <w:vAlign w:val="center"/>
          </w:tcPr>
          <w:p w14:paraId="2A2FFF1A">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622" w:type="dxa"/>
            <w:gridSpan w:val="6"/>
            <w:tcBorders>
              <w:top w:val="single" w:color="auto" w:sz="6" w:space="0"/>
              <w:left w:val="single" w:color="auto" w:sz="6" w:space="0"/>
              <w:bottom w:val="single" w:color="auto" w:sz="6" w:space="0"/>
              <w:right w:val="single" w:color="auto" w:sz="6" w:space="0"/>
            </w:tcBorders>
            <w:vAlign w:val="center"/>
          </w:tcPr>
          <w:p w14:paraId="40930FD9">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类别3</w:t>
            </w:r>
          </w:p>
        </w:tc>
        <w:tc>
          <w:tcPr>
            <w:tcW w:w="2384" w:type="dxa"/>
            <w:gridSpan w:val="5"/>
            <w:tcBorders>
              <w:top w:val="single" w:color="auto" w:sz="6" w:space="0"/>
              <w:left w:val="single" w:color="auto" w:sz="6" w:space="0"/>
              <w:bottom w:val="single" w:color="auto" w:sz="6" w:space="0"/>
              <w:right w:val="single" w:color="auto" w:sz="6" w:space="0"/>
            </w:tcBorders>
            <w:vAlign w:val="center"/>
          </w:tcPr>
          <w:p w14:paraId="658D34FA">
            <w:pPr>
              <w:pStyle w:val="93"/>
              <w:rPr>
                <w:color w:val="000000" w:themeColor="text1"/>
                <w14:textFill>
                  <w14:solidFill>
                    <w14:schemeClr w14:val="tx1"/>
                  </w14:solidFill>
                </w14:textFill>
              </w:rPr>
            </w:pPr>
            <w:r>
              <w:rPr>
                <w:color w:val="000000" w:themeColor="text1"/>
                <w14:textFill>
                  <w14:solidFill>
                    <w14:schemeClr w14:val="tx1"/>
                  </w14:solidFill>
                </w14:textFill>
              </w:rPr>
              <w:t>危险货物包装标志</w:t>
            </w:r>
          </w:p>
        </w:tc>
        <w:tc>
          <w:tcPr>
            <w:tcW w:w="930" w:type="dxa"/>
            <w:tcBorders>
              <w:top w:val="single" w:color="auto" w:sz="6" w:space="0"/>
              <w:left w:val="single" w:color="auto" w:sz="6" w:space="0"/>
              <w:bottom w:val="single" w:color="auto" w:sz="6" w:space="0"/>
              <w:right w:val="single" w:color="auto" w:sz="6" w:space="0"/>
            </w:tcBorders>
            <w:vAlign w:val="center"/>
          </w:tcPr>
          <w:p w14:paraId="676C7DF7">
            <w:pPr>
              <w:pStyle w:val="93"/>
              <w:rPr>
                <w:color w:val="000000" w:themeColor="text1"/>
                <w14:textFill>
                  <w14:solidFill>
                    <w14:schemeClr w14:val="tx1"/>
                  </w14:solidFill>
                </w14:textFill>
              </w:rPr>
            </w:pPr>
            <w:r>
              <w:rPr>
                <w:color w:val="000000" w:themeColor="text1"/>
                <w14:textFill>
                  <w14:solidFill>
                    <w14:schemeClr w14:val="tx1"/>
                  </w14:solidFill>
                </w14:textFill>
              </w:rPr>
              <w:t>7</w:t>
            </w:r>
          </w:p>
        </w:tc>
      </w:tr>
      <w:tr w14:paraId="5E4E67C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6AA3F93B">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2C43418">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C89070A">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14:paraId="0F8FE9D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40B6D01D">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4ED101B">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4A7F9441">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储存于阴凉、通风的库房。远离火种、热源。应与氧化剂、卤素分开存放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14:paraId="4BBF6DA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continue"/>
            <w:tcBorders>
              <w:left w:val="single" w:color="auto" w:sz="6" w:space="0"/>
              <w:right w:val="single" w:color="auto" w:sz="6" w:space="0"/>
            </w:tcBorders>
            <w:vAlign w:val="center"/>
          </w:tcPr>
          <w:p w14:paraId="2D861F5F">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ECD4420">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69FB5419">
            <w:pPr>
              <w:pStyle w:val="93"/>
              <w:rPr>
                <w:color w:val="000000" w:themeColor="text1"/>
                <w14:textFill>
                  <w14:solidFill>
                    <w14:schemeClr w14:val="tx1"/>
                  </w14:solidFill>
                </w14:textFill>
              </w:rPr>
            </w:pPr>
            <w:r>
              <w:rPr>
                <w:color w:val="000000" w:themeColor="text1"/>
                <w14:textFill>
                  <w14:solidFill>
                    <w14:schemeClr w14:val="tx1"/>
                  </w14:solidFill>
                </w14:textFill>
              </w:rPr>
              <w:t>运输前应先检查包装容器是否完整、密封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运输过程中要确保容器不泄漏、不倒塌、不坠落、不损坏。运输时运输车辆应配备相应品种和数量的消防器材及泄漏应急处理设备。夏季最好早晚运输。运输时所用的槽（罐）车应有接地链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产生静电。严禁与氧化剂、卤素、食用化学品等混装混运。运输途中应防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禁止使用易产生火花的机械设备和工具装卸。运输车船必须彻底清洗、消毒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否则不得装运其它物品。船运时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配装位置应远离卧室、厨房</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并与机舱、电源、火源等部位隔离。公路运输时要按规定路线行驶。</w:t>
            </w:r>
          </w:p>
        </w:tc>
      </w:tr>
      <w:tr w14:paraId="4AD36DB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2A58A744">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6092F9D4">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285B3080">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注意通风。操作人员必须经过专门培训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严格遵守操作规程。建议操作人员佩戴自吸过滤式防毒面具（半面罩）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戴化学安全防护眼镜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工作场所严禁吸烟。使用防爆型的通风系统和设备。防止蒸气泄漏到工作场所空气中。避免与氧化剂、卤素接触。充装要控制流速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14:paraId="77C9256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14:paraId="200EE130">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481" w:type="dxa"/>
            <w:tcBorders>
              <w:top w:val="single" w:color="auto" w:sz="6" w:space="0"/>
              <w:left w:val="single" w:color="auto" w:sz="6" w:space="0"/>
              <w:bottom w:val="single" w:color="auto" w:sz="6" w:space="0"/>
              <w:right w:val="single" w:color="auto" w:sz="6" w:space="0"/>
            </w:tcBorders>
            <w:vAlign w:val="center"/>
          </w:tcPr>
          <w:p w14:paraId="0AB47868">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FEEC14E">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14:paraId="0266D07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645FBFD9">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03502FAF">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4A135859">
            <w:pPr>
              <w:pStyle w:val="93"/>
              <w:rPr>
                <w:color w:val="000000" w:themeColor="text1"/>
                <w14:textFill>
                  <w14:solidFill>
                    <w14:schemeClr w14:val="tx1"/>
                  </w14:solidFill>
                </w14:textFill>
              </w:rPr>
            </w:pPr>
            <w:r>
              <w:rPr>
                <w:color w:val="000000" w:themeColor="text1"/>
                <w14:textFill>
                  <w14:solidFill>
                    <w14:schemeClr w14:val="tx1"/>
                  </w14:solidFill>
                </w14:textFill>
              </w:rPr>
              <w:t>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用流动清水或生理盐水冲洗。就医。</w:t>
            </w:r>
          </w:p>
        </w:tc>
      </w:tr>
      <w:tr w14:paraId="602E1E6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1B05C83D">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51127092">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0C391331">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14:paraId="7951CAC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734771DD">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7BFE1912">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4CBE63D7">
            <w:pPr>
              <w:pStyle w:val="93"/>
              <w:rPr>
                <w:color w:val="000000" w:themeColor="text1"/>
                <w14:textFill>
                  <w14:solidFill>
                    <w14:schemeClr w14:val="tx1"/>
                  </w14:solidFill>
                </w14:textFill>
              </w:rPr>
            </w:pPr>
            <w:r>
              <w:rPr>
                <w:color w:val="000000" w:themeColor="text1"/>
                <w14:textFill>
                  <w14:solidFill>
                    <w14:schemeClr w14:val="tx1"/>
                  </w14:solidFill>
                </w14:textFill>
              </w:rPr>
              <w:t>尽快彻底洗胃。就医。</w:t>
            </w:r>
          </w:p>
        </w:tc>
      </w:tr>
      <w:tr w14:paraId="5BCAB5E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14:paraId="42C94539">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481" w:type="dxa"/>
            <w:tcBorders>
              <w:top w:val="single" w:color="auto" w:sz="6" w:space="0"/>
              <w:left w:val="single" w:color="auto" w:sz="6" w:space="0"/>
              <w:bottom w:val="single" w:color="auto" w:sz="6" w:space="0"/>
              <w:right w:val="single" w:color="auto" w:sz="6" w:space="0"/>
            </w:tcBorders>
            <w:vAlign w:val="center"/>
          </w:tcPr>
          <w:p w14:paraId="11C2FB7B">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7B662DD4">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14:paraId="7315942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0907DF7A">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6FC75C3F">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13A5498B">
            <w:pPr>
              <w:pStyle w:val="93"/>
              <w:rPr>
                <w:color w:val="000000" w:themeColor="text1"/>
                <w14:textFill>
                  <w14:solidFill>
                    <w14:schemeClr w14:val="tx1"/>
                  </w14:solidFill>
                </w14:textFill>
              </w:rPr>
            </w:pPr>
            <w:r>
              <w:rPr>
                <w:color w:val="000000" w:themeColor="text1"/>
                <w14:textFill>
                  <w14:solidFill>
                    <w14:schemeClr w14:val="tx1"/>
                  </w14:solidFill>
                </w14:textFill>
              </w:rPr>
              <w:t>空气中浓度超标时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建议佩戴自吸过滤式防毒面具（半面罩）。紧急事态抢救或撤离时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应该佩戴空气呼吸器。</w:t>
            </w:r>
          </w:p>
        </w:tc>
      </w:tr>
      <w:tr w14:paraId="0D57190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4D117CFD">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28830AFD">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62A667D9">
            <w:pPr>
              <w:pStyle w:val="93"/>
              <w:rPr>
                <w:color w:val="000000" w:themeColor="text1"/>
                <w14:textFill>
                  <w14:solidFill>
                    <w14:schemeClr w14:val="tx1"/>
                  </w14:solidFill>
                </w14:textFill>
              </w:rPr>
            </w:pPr>
            <w:r>
              <w:rPr>
                <w:color w:val="000000" w:themeColor="text1"/>
                <w14:textFill>
                  <w14:solidFill>
                    <w14:schemeClr w14:val="tx1"/>
                  </w14:solidFill>
                </w14:textFill>
              </w:rPr>
              <w:t>戴化学安全防护眼镜。</w:t>
            </w:r>
          </w:p>
        </w:tc>
      </w:tr>
      <w:tr w14:paraId="1841391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14:paraId="2A52EC2D">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0DE67D4C">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49BB2E16">
            <w:pPr>
              <w:pStyle w:val="93"/>
              <w:rPr>
                <w:color w:val="000000" w:themeColor="text1"/>
                <w14:textFill>
                  <w14:solidFill>
                    <w14:schemeClr w14:val="tx1"/>
                  </w14:solidFill>
                </w14:textFill>
              </w:rPr>
            </w:pPr>
            <w:r>
              <w:rPr>
                <w:color w:val="000000" w:themeColor="text1"/>
                <w14:textFill>
                  <w14:solidFill>
                    <w14:schemeClr w14:val="tx1"/>
                  </w14:solidFill>
                </w14:textFill>
              </w:rPr>
              <w:t>穿一般作业防护服。</w:t>
            </w:r>
          </w:p>
        </w:tc>
      </w:tr>
      <w:tr w14:paraId="622A9B9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654" w:type="dxa"/>
            <w:vMerge w:val="continue"/>
            <w:tcBorders>
              <w:left w:val="single" w:color="auto" w:sz="6" w:space="0"/>
              <w:right w:val="single" w:color="auto" w:sz="6" w:space="0"/>
            </w:tcBorders>
            <w:vAlign w:val="center"/>
          </w:tcPr>
          <w:p w14:paraId="1DD0F414">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3F36D0E0">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35EAAA84">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14:paraId="136FE88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14:paraId="27157B52">
            <w:pPr>
              <w:pStyle w:val="93"/>
              <w:rPr>
                <w:color w:val="000000" w:themeColor="text1"/>
                <w14:textFill>
                  <w14:solidFill>
                    <w14:schemeClr w14:val="tx1"/>
                  </w14:solidFill>
                </w14:textFill>
              </w:rPr>
            </w:pPr>
          </w:p>
        </w:tc>
        <w:tc>
          <w:tcPr>
            <w:tcW w:w="1481" w:type="dxa"/>
            <w:tcBorders>
              <w:top w:val="single" w:color="auto" w:sz="6" w:space="0"/>
              <w:left w:val="single" w:color="auto" w:sz="6" w:space="0"/>
              <w:bottom w:val="single" w:color="auto" w:sz="6" w:space="0"/>
              <w:right w:val="single" w:color="auto" w:sz="6" w:space="0"/>
            </w:tcBorders>
            <w:vAlign w:val="center"/>
          </w:tcPr>
          <w:p w14:paraId="6EEAD76C">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936" w:type="dxa"/>
            <w:gridSpan w:val="12"/>
            <w:tcBorders>
              <w:top w:val="single" w:color="auto" w:sz="6" w:space="0"/>
              <w:left w:val="single" w:color="auto" w:sz="6" w:space="0"/>
              <w:bottom w:val="single" w:color="auto" w:sz="6" w:space="0"/>
              <w:right w:val="single" w:color="auto" w:sz="6" w:space="0"/>
            </w:tcBorders>
            <w:vAlign w:val="center"/>
          </w:tcPr>
          <w:p w14:paraId="40E27B0C">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14:paraId="74F6365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tcBorders>
              <w:top w:val="single" w:color="auto" w:sz="6" w:space="0"/>
              <w:left w:val="single" w:color="auto" w:sz="6" w:space="0"/>
              <w:bottom w:val="single" w:color="auto" w:sz="6" w:space="0"/>
              <w:right w:val="single" w:color="auto" w:sz="6" w:space="0"/>
            </w:tcBorders>
            <w:vAlign w:val="center"/>
          </w:tcPr>
          <w:p w14:paraId="6CF21992">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7" w:type="dxa"/>
            <w:gridSpan w:val="13"/>
            <w:tcBorders>
              <w:top w:val="single" w:color="auto" w:sz="6" w:space="0"/>
              <w:left w:val="single" w:color="auto" w:sz="6" w:space="0"/>
              <w:bottom w:val="single" w:color="auto" w:sz="6" w:space="0"/>
              <w:right w:val="single" w:color="auto" w:sz="6" w:space="0"/>
            </w:tcBorders>
            <w:vAlign w:val="center"/>
          </w:tcPr>
          <w:p w14:paraId="4D87599F">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穿一般作业工作服。尽可能切断泄漏源。防止流入下水道、排洪沟等限制性空间。小量泄漏：用活性炭或其它惰性材料吸收。大量泄漏：构筑围堤或挖坑收容。用泵转移至槽车或专用收集器内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14:paraId="3BAF4F37">
      <w:pPr>
        <w:pStyle w:val="3"/>
        <w:rPr>
          <w:color w:val="000000" w:themeColor="text1"/>
          <w14:textFill>
            <w14:solidFill>
              <w14:schemeClr w14:val="tx1"/>
            </w14:solidFill>
          </w14:textFill>
        </w:rPr>
      </w:pPr>
      <w:bookmarkStart w:id="270" w:name="_Toc16129"/>
      <w:r>
        <w:rPr>
          <w:rFonts w:hint="eastAsia"/>
          <w:color w:val="000000" w:themeColor="text1"/>
          <w14:textFill>
            <w14:solidFill>
              <w14:schemeClr w14:val="tx1"/>
            </w14:solidFill>
          </w14:textFill>
        </w:rPr>
        <w:t>危险、有害因素</w:t>
      </w:r>
      <w:bookmarkEnd w:id="267"/>
      <w:bookmarkEnd w:id="268"/>
      <w:r>
        <w:rPr>
          <w:rFonts w:hint="eastAsia"/>
          <w:color w:val="000000" w:themeColor="text1"/>
          <w14:textFill>
            <w14:solidFill>
              <w14:schemeClr w14:val="tx1"/>
            </w14:solidFill>
          </w14:textFill>
        </w:rPr>
        <w:t>分析</w:t>
      </w:r>
      <w:bookmarkEnd w:id="269"/>
      <w:bookmarkEnd w:id="270"/>
    </w:p>
    <w:p w14:paraId="37370321">
      <w:pPr>
        <w:pStyle w:val="4"/>
        <w:ind w:firstLine="562"/>
        <w:rPr>
          <w:color w:val="000000" w:themeColor="text1"/>
          <w14:textFill>
            <w14:solidFill>
              <w14:schemeClr w14:val="tx1"/>
            </w14:solidFill>
          </w14:textFill>
        </w:rPr>
      </w:pPr>
      <w:bookmarkStart w:id="271" w:name="_Toc14404"/>
      <w:bookmarkStart w:id="272" w:name="_Toc456527709"/>
      <w:r>
        <w:rPr>
          <w:rFonts w:hint="eastAsia"/>
          <w:color w:val="000000" w:themeColor="text1"/>
          <w14:textFill>
            <w14:solidFill>
              <w14:schemeClr w14:val="tx1"/>
            </w14:solidFill>
          </w14:textFill>
        </w:rPr>
        <w:t>危险产生的原因</w:t>
      </w:r>
      <w:bookmarkEnd w:id="271"/>
      <w:bookmarkEnd w:id="272"/>
    </w:p>
    <w:p w14:paraId="2534E7C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73" w:name="_Toc200880752"/>
      <w:bookmarkStart w:id="274" w:name="_Toc171873181"/>
      <w:r>
        <w:rPr>
          <w:rFonts w:hint="eastAsia"/>
          <w:color w:val="000000" w:themeColor="text1"/>
          <w14:textFill>
            <w14:solidFill>
              <w14:schemeClr w14:val="tx1"/>
            </w14:solidFill>
          </w14:textFill>
        </w:rPr>
        <w:t>1.运行失控与设备故障</w:t>
      </w:r>
      <w:bookmarkEnd w:id="273"/>
      <w:bookmarkEnd w:id="274"/>
    </w:p>
    <w:p w14:paraId="1A2EC61E">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运行失控指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14:paraId="06C36591">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75" w:name="_Toc200880753"/>
      <w:bookmarkStart w:id="276" w:name="_Toc171873182"/>
      <w:r>
        <w:rPr>
          <w:rFonts w:hint="eastAsia"/>
          <w:color w:val="000000" w:themeColor="text1"/>
          <w14:textFill>
            <w14:solidFill>
              <w14:schemeClr w14:val="tx1"/>
            </w14:solidFill>
          </w14:textFill>
        </w:rPr>
        <w:t>2.人员失误</w:t>
      </w:r>
      <w:bookmarkEnd w:id="275"/>
      <w:bookmarkEnd w:id="276"/>
    </w:p>
    <w:p w14:paraId="04B96332">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14:paraId="7F1EEAE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77" w:name="_Toc200880754"/>
      <w:bookmarkStart w:id="278" w:name="_Toc171873183"/>
      <w:r>
        <w:rPr>
          <w:rFonts w:hint="eastAsia"/>
          <w:color w:val="000000" w:themeColor="text1"/>
          <w14:textFill>
            <w14:solidFill>
              <w14:schemeClr w14:val="tx1"/>
            </w14:solidFill>
          </w14:textFill>
        </w:rPr>
        <w:t>3.管理缺陷</w:t>
      </w:r>
      <w:bookmarkEnd w:id="277"/>
      <w:bookmarkEnd w:id="278"/>
    </w:p>
    <w:p w14:paraId="461E5EED">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是为了保证及时、有效地实现既定的安全目标，是在预测、分析的基础之上进行的计划、组织、协调、检查等工作，是预防故障和人员失误发生的有效手段，因此管理缺陷是影响运行失控发生的重要因素。</w:t>
      </w:r>
    </w:p>
    <w:p w14:paraId="019429A0">
      <w:pPr>
        <w:pStyle w:val="4"/>
        <w:ind w:firstLine="562"/>
        <w:rPr>
          <w:color w:val="000000" w:themeColor="text1"/>
          <w14:textFill>
            <w14:solidFill>
              <w14:schemeClr w14:val="tx1"/>
            </w14:solidFill>
          </w14:textFill>
        </w:rPr>
      </w:pPr>
      <w:bookmarkStart w:id="279" w:name="_Toc456527710"/>
      <w:bookmarkStart w:id="280" w:name="_Toc19817"/>
      <w:r>
        <w:rPr>
          <w:rFonts w:hint="eastAsia"/>
          <w:color w:val="000000" w:themeColor="text1"/>
          <w14:textFill>
            <w14:solidFill>
              <w14:schemeClr w14:val="tx1"/>
            </w14:solidFill>
          </w14:textFill>
        </w:rPr>
        <w:t>加油站运行过程中危险、有害因素分析</w:t>
      </w:r>
      <w:bookmarkEnd w:id="279"/>
      <w:bookmarkEnd w:id="280"/>
    </w:p>
    <w:p w14:paraId="69CBFCC1">
      <w:pPr>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本次安全现状评价根据对被评价单位提供的有关资料分析和对现场环境条件的调查，参照《</w:t>
      </w:r>
      <w:r>
        <w:rPr>
          <w:rFonts w:hint="eastAsia"/>
          <w:color w:val="000000" w:themeColor="text1"/>
          <w:lang w:eastAsia="zh-CN"/>
          <w14:textFill>
            <w14:solidFill>
              <w14:schemeClr w14:val="tx1"/>
            </w14:solidFill>
          </w14:textFill>
        </w:rPr>
        <w:t>企业职工伤亡事故分类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GB6441-</w:t>
      </w:r>
      <w:r>
        <w:rPr>
          <w:rFonts w:hint="eastAsia"/>
          <w:color w:val="000000" w:themeColor="text1"/>
          <w14:textFill>
            <w14:solidFill>
              <w14:schemeClr w14:val="tx1"/>
            </w14:solidFill>
          </w14:textFill>
        </w:rPr>
        <w:t>19</w:t>
      </w:r>
      <w:r>
        <w:rPr>
          <w:color w:val="000000" w:themeColor="text1"/>
          <w14:textFill>
            <w14:solidFill>
              <w14:schemeClr w14:val="tx1"/>
            </w14:solidFill>
          </w14:textFill>
        </w:rPr>
        <w:t>86</w:t>
      </w:r>
      <w:r>
        <w:rPr>
          <w:rFonts w:hint="eastAsia"/>
          <w:color w:val="000000" w:themeColor="text1"/>
          <w14:textFill>
            <w14:solidFill>
              <w14:schemeClr w14:val="tx1"/>
            </w14:solidFill>
          </w14:textFill>
        </w:rPr>
        <w:t>）中对事故类别的划分方法，将该加油站可能存在的危险有害因素按类别分析如下。</w:t>
      </w:r>
    </w:p>
    <w:p w14:paraId="619DFBDB">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卸油过程危险有害因素分析</w:t>
      </w:r>
    </w:p>
    <w:p w14:paraId="604EF37D">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14:paraId="45E598B6">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柴油均属于易燃物品，汽油蒸气与空气混合物遇到明火、高热容易燃烧爆炸，柴油遇明火、高热或与氧化剂接触有引起燃烧爆炸的危险。在卸油过程中，不可避免会有一定的油气泄漏，若现场存在点火源如明火、电气火花、静电、雷击、高温红热物体等，将会造成泄漏的油气与空气混合物发生火灾爆炸，造成严重的事故后果。</w:t>
      </w:r>
    </w:p>
    <w:p w14:paraId="0FB2535E">
      <w:pPr>
        <w:rPr>
          <w:color w:val="000000" w:themeColor="text1"/>
          <w14:textFill>
            <w14:solidFill>
              <w14:schemeClr w14:val="tx1"/>
            </w14:solidFill>
          </w14:textFill>
        </w:rPr>
      </w:pPr>
      <w:r>
        <w:rPr>
          <w:rFonts w:hint="eastAsia"/>
          <w:color w:val="000000" w:themeColor="text1"/>
          <w14:textFill>
            <w14:solidFill>
              <w14:schemeClr w14:val="tx1"/>
            </w14:solidFill>
          </w14:textFill>
        </w:rPr>
        <w:t>若采用敞开式卸油，或卸油管路设置不合理，进油管未向下伸至距罐底小于100mm位置，则在卸油过程中由于汽油入罐冲击作用将造成现场有大量的油气泄漏，火灾爆炸的危险性将大大增加。</w:t>
      </w:r>
    </w:p>
    <w:p w14:paraId="220003ED">
      <w:pPr>
        <w:rPr>
          <w:color w:val="000000" w:themeColor="text1"/>
          <w14:textFill>
            <w14:solidFill>
              <w14:schemeClr w14:val="tx1"/>
            </w14:solidFill>
          </w14:textFill>
        </w:rPr>
      </w:pPr>
      <w:r>
        <w:rPr>
          <w:rFonts w:hint="eastAsia"/>
          <w:color w:val="000000" w:themeColor="text1"/>
          <w14:textFill>
            <w14:solidFill>
              <w14:schemeClr w14:val="tx1"/>
            </w14:solidFill>
          </w14:textFill>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14:paraId="59FFCB80">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14:paraId="642DF64F">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14:paraId="1D5804C4">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14:paraId="68A9B1BE">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卸油过程中，卸油车辆进入加油站，由于不按规定行驶，从业人员若思想不集中、管理不当、卸油场地设计不合理、警示标志不明确等因素都会造成车辆伤害，造成人员伤亡和财产损失。</w:t>
      </w:r>
    </w:p>
    <w:p w14:paraId="71874C78">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14:paraId="50688D55">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加油站若未设置防雷接地设施、防雷接地设施有缺陷或未进行检测，若加油站安全管理存在缺陷，要求在雷雨天进行卸油作业，则作业人员可能受到雷击而伤亡。</w:t>
      </w:r>
    </w:p>
    <w:p w14:paraId="3E8834E0">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加油站使用的各种用电设备，若电气设备、线路存在缺陷，使用中绝缘损坏漏电，未安装漏电保护设施或损坏，将有可能发生触电危险性。</w:t>
      </w:r>
    </w:p>
    <w:p w14:paraId="268D44F9">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）中毒和窒息</w:t>
      </w:r>
    </w:p>
    <w:p w14:paraId="20DD2A69">
      <w:pPr>
        <w:rPr>
          <w:color w:val="000000" w:themeColor="text1"/>
          <w14:textFill>
            <w14:solidFill>
              <w14:schemeClr w14:val="tx1"/>
            </w14:solidFill>
          </w14:textFill>
        </w:rPr>
      </w:pPr>
      <w:r>
        <w:rPr>
          <w:rFonts w:hint="eastAsia"/>
          <w:color w:val="000000" w:themeColor="text1"/>
          <w14:textFill>
            <w14:solidFill>
              <w14:schemeClr w14:val="tx1"/>
            </w14:solidFill>
          </w14:textFill>
        </w:rPr>
        <w:t>从汽、柴油的危险特性看出，汽、柴油可引起接触皮炎、油性痤疮。皮肤接触可致急性肾脏损害。吸入其雾滴或液体呛入可引起吸入性肺炎。汽、柴油、废气可引起眼、鼻刺激症状，头晕及头痛。</w:t>
      </w:r>
    </w:p>
    <w:p w14:paraId="712E64B6">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中若不慎出现汽、柴油的外泄，其蒸气有可能随风四处扩散，而泄漏出来的油液体也可能顺地势四周蔓延。油气密度比空气重，容易滞留在地表、水沟、下水道及坑凹处，并贴着地面流向远处，往往在预感不到的地方造成毒性危害。特别是在</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，人员在作业场所往往不可预知就发生中毒和窒息事故。</w:t>
      </w:r>
    </w:p>
    <w:p w14:paraId="22CB7E93">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若发电机排烟管伸出室外的管子损坏或拆除，在发电机运行过程中大量烟气聚集容易造成人员中毒和窒息。</w:t>
      </w:r>
    </w:p>
    <w:p w14:paraId="0FC113AE">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14:paraId="23B9EDC8">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14:paraId="17CD7AEF">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加油站工作人员在槽罐车顶部量油属于高处作业范畴。如果罐体顶部没有安装护栏，或者是从业人员工作不专心，则有可能发生高处坠落的危险性。</w:t>
      </w:r>
    </w:p>
    <w:p w14:paraId="6F92DC9E">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油品储存过程危险有害因素分析</w:t>
      </w:r>
    </w:p>
    <w:p w14:paraId="6C86469E">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14:paraId="7FDCE882">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1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蒸气与空气的混合物，遇到点火源将发生火灾爆炸，造成严重的事故后果。</w:t>
      </w:r>
    </w:p>
    <w:p w14:paraId="028A768E">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2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油罐未按要求进行防腐处理，在营业过程中，由于罐体腐蚀导致油品泄漏，泄漏的油品或挥发形成的蒸气遇到点火源将引发火灾爆炸事故。</w:t>
      </w:r>
    </w:p>
    <w:p w14:paraId="5322EDA4">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3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规范及设计要求采用合格的材料制造或油罐制造过程中有缺陷，油罐的承压强度达不到要求，在油罐外部覆土的压力作用下导致油罐破裂，造成油品大量泄漏，散发出的油蒸气遇到点火源将发生火灾爆炸，造成严重的事故后果。</w:t>
      </w:r>
    </w:p>
    <w:p w14:paraId="768F8193">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4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在雷雨季节时，若加油站未设置防雷接地设施、防雷接地设施有缺陷或未进行检测，可能会发生雷击引发油罐爆炸的恶性事故发生。</w:t>
      </w:r>
    </w:p>
    <w:p w14:paraId="23670FB4">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5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⑤</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在储存过程中，由于密封不好、密封失效以及管路渗漏等原因，造成部分油品挥发而形成油蒸气与空气的混合物，遇到点火源可能会造成火灾爆炸事故。</w:t>
      </w:r>
    </w:p>
    <w:p w14:paraId="428645CB">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6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⑥</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油罐没有按照要求设置通气管，在高温季节时，油罐很容易因油品体积膨胀而破裂受损，油品发生大量泄漏，泄漏的油品及蒸气遇到点火源将导致火灾爆炸事故，造成严重的事故后果。</w:t>
      </w:r>
    </w:p>
    <w:p w14:paraId="5D38CC64">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7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⑦</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通气管口没有按要求设置阻火器，油蒸气将通过通气管口不断挥发，遇到点火源将发生火灾事故，若通气管口距离地面高度太低，通气管口发生火灾后，火焰将可能顺着通气管口回燃至储罐内，造成油罐爆炸的恶性事故，导致重大人员伤亡。</w:t>
      </w:r>
    </w:p>
    <w:p w14:paraId="0803077C">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）中毒和窒息</w:t>
      </w:r>
    </w:p>
    <w:p w14:paraId="0D7D9C13">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如前所述，在油品储存过程中主要是油品发生大量泄漏后，从业人员接触或吸入而造成人员中毒和窒息。</w:t>
      </w:r>
    </w:p>
    <w:p w14:paraId="066305C1">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）静电危险性</w:t>
      </w:r>
    </w:p>
    <w:p w14:paraId="3E370B50">
      <w:pPr>
        <w:rPr>
          <w:color w:val="000000" w:themeColor="text1"/>
          <w14:textFill>
            <w14:solidFill>
              <w14:schemeClr w14:val="tx1"/>
            </w14:solidFill>
          </w14:textFill>
        </w:rPr>
      </w:pPr>
      <w:r>
        <w:rPr>
          <w:rFonts w:hint="eastAsia"/>
          <w:color w:val="000000" w:themeColor="text1"/>
          <w14:textFill>
            <w14:solidFill>
              <w14:schemeClr w14:val="tx1"/>
            </w14:solidFill>
          </w14:textFill>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不准将静电接地与其他接地连在一起。</w:t>
      </w:r>
    </w:p>
    <w:p w14:paraId="73A9D9B8">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）雷击损坏危险性</w:t>
      </w:r>
    </w:p>
    <w:p w14:paraId="30E98A03">
      <w:pPr>
        <w:rPr>
          <w:color w:val="000000" w:themeColor="text1"/>
          <w14:textFill>
            <w14:solidFill>
              <w14:schemeClr w14:val="tx1"/>
            </w14:solidFill>
          </w14:textFill>
        </w:rPr>
      </w:pPr>
      <w:r>
        <w:rPr>
          <w:rFonts w:hint="eastAsia"/>
          <w:color w:val="000000" w:themeColor="text1"/>
          <w14:textFill>
            <w14:solidFill>
              <w14:schemeClr w14:val="tx1"/>
            </w14:solidFill>
          </w14:textFill>
        </w:rPr>
        <w:t>防雷设备选型、安装不当或缺陷会因雷击而引起火灾爆炸事故，油站若防雷设施设计或管理不当，也有发生雷击破坏的危险性。</w:t>
      </w:r>
    </w:p>
    <w:p w14:paraId="07B43693">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14:paraId="0752CDDA">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14:paraId="7FE2463A">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加油站工作人员在对油罐阻火器进行检（维）修属于高处作业范畴。如果没有安装防护设施或者防护设施有缺陷，或者是从业人员工作不专心，则有可能发生高处坠落的危险性。</w:t>
      </w:r>
    </w:p>
    <w:p w14:paraId="29886AAA">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加油过程危险有害因素分析</w:t>
      </w:r>
    </w:p>
    <w:p w14:paraId="6659860F">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14:paraId="59AFA9B2">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加油过程中，现场可能会形成油气与空气形成的混合物，若现场存在点火源如明火、电气火花、静电、雷击、高温红热物体等，将会造成泄漏的油气与空气混和物发生火灾爆炸，造成严重的事故后果。</w:t>
      </w:r>
    </w:p>
    <w:p w14:paraId="631D7218">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加油过程中，若加油流速过大，产生的静电发生放电将会引起火灾爆炸事故。</w:t>
      </w:r>
    </w:p>
    <w:p w14:paraId="0B9F09BD">
      <w:pPr>
        <w:rPr>
          <w:color w:val="000000" w:themeColor="text1"/>
          <w14:textFill>
            <w14:solidFill>
              <w14:schemeClr w14:val="tx1"/>
            </w14:solidFill>
          </w14:textFill>
        </w:rPr>
      </w:pPr>
      <w:r>
        <w:rPr>
          <w:rFonts w:hint="eastAsia"/>
          <w:color w:val="000000" w:themeColor="text1"/>
          <w14:textFill>
            <w14:solidFill>
              <w14:schemeClr w14:val="tx1"/>
            </w14:solidFill>
          </w14:textFill>
        </w:rPr>
        <w:t>由于加油站现场管理不严，可能出现违反操作规程向塑料桶加油的现象，而往塑料桶内加油将产生的大量的静电，同时在加注过程中现场肯定会有大量的油蒸气，若产生静电放电则会产生灾难性的后果。</w:t>
      </w:r>
    </w:p>
    <w:p w14:paraId="3CF8A9C6">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14:paraId="49CC290E">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14:paraId="24BF98A7">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加油过程中，加油车辆进入加油站，由于不按规定行驶，从业人员若思想不集中、管理不当、加油场地设计不合理、警示标志不明确等因素都会造成车辆伤害，造成人员伤亡和财产损失。</w:t>
      </w:r>
    </w:p>
    <w:p w14:paraId="2D3BEFDE">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14:paraId="5144C4C0">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加油站未设置防雷接地设施、防雷接地设施有缺陷或未进行检测，在雷雨天进行加油作业时，作业人员可能受到雷击而伤亡。</w:t>
      </w:r>
    </w:p>
    <w:p w14:paraId="78FBE783">
      <w:pPr>
        <w:rPr>
          <w:color w:val="000000" w:themeColor="text1"/>
          <w14:textFill>
            <w14:solidFill>
              <w14:schemeClr w14:val="tx1"/>
            </w14:solidFill>
          </w14:textFill>
        </w:rPr>
      </w:pPr>
      <w:r>
        <w:rPr>
          <w:rFonts w:hint="eastAsia"/>
          <w:color w:val="000000" w:themeColor="text1"/>
          <w14:textFill>
            <w14:solidFill>
              <w14:schemeClr w14:val="tx1"/>
            </w14:solidFill>
          </w14:textFill>
        </w:rPr>
        <w:t>在傍晚或夜间进行加油作业时，加油站将使用相应的照明设施，若照明电气设备、线路存在缺陷，使用中绝缘损坏漏电，未安装漏电保护设施或损坏，将有可能发生触电危险性。</w:t>
      </w:r>
    </w:p>
    <w:p w14:paraId="16A88185">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若加油机电气设备、线路老化或线路存在缺陷导致加油机意外带电，将可能导致作业人员触电伤亡。</w:t>
      </w:r>
    </w:p>
    <w:p w14:paraId="30691292">
      <w:pPr>
        <w:rPr>
          <w:color w:val="000000" w:themeColor="text1"/>
          <w14:textFill>
            <w14:solidFill>
              <w14:schemeClr w14:val="tx1"/>
            </w14:solidFill>
          </w14:textFill>
        </w:rPr>
      </w:pPr>
      <w:r>
        <w:rPr>
          <w:rFonts w:hint="eastAsia"/>
          <w:color w:val="000000" w:themeColor="text1"/>
          <w14:textFill>
            <w14:solidFill>
              <w14:schemeClr w14:val="tx1"/>
            </w14:solidFill>
          </w14:textFill>
        </w:rPr>
        <w:t>（4）机械伤害</w:t>
      </w:r>
    </w:p>
    <w:p w14:paraId="5CC2B1A2">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对于发电机，在对发电机拆盖检修后未及时恢复，或违章作业，人体接触运转件部件将有可能发生机械伤害。</w:t>
      </w:r>
    </w:p>
    <w:p w14:paraId="471EEC75">
      <w:pPr>
        <w:rPr>
          <w:color w:val="000000" w:themeColor="text1"/>
          <w14:textFill>
            <w14:solidFill>
              <w14:schemeClr w14:val="tx1"/>
            </w14:solidFill>
          </w14:textFill>
        </w:rPr>
      </w:pPr>
      <w:r>
        <w:rPr>
          <w:rFonts w:hint="eastAsia"/>
          <w:color w:val="000000" w:themeColor="text1"/>
          <w14:textFill>
            <w14:solidFill>
              <w14:schemeClr w14:val="tx1"/>
            </w14:solidFill>
          </w14:textFill>
        </w:rPr>
        <w:t>（5）中毒和窒息</w:t>
      </w:r>
    </w:p>
    <w:p w14:paraId="48EAEB6C">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如前所述，在加油过程中主要是油品发生操作失误而导致油品大量泄漏后，从业人员接触或吸入而造成人员中毒和窒息。</w:t>
      </w:r>
    </w:p>
    <w:p w14:paraId="5299B790">
      <w:pPr>
        <w:rPr>
          <w:color w:val="000000" w:themeColor="text1"/>
          <w14:textFill>
            <w14:solidFill>
              <w14:schemeClr w14:val="tx1"/>
            </w14:solidFill>
          </w14:textFill>
        </w:rPr>
      </w:pPr>
      <w:r>
        <w:rPr>
          <w:rFonts w:hint="eastAsia"/>
          <w:color w:val="000000" w:themeColor="text1"/>
          <w14:textFill>
            <w14:solidFill>
              <w14:schemeClr w14:val="tx1"/>
            </w14:solidFill>
          </w14:textFill>
        </w:rPr>
        <w:t>（6）坍塌</w:t>
      </w:r>
    </w:p>
    <w:p w14:paraId="734815CB">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该加油站罩棚采用网架结构，若有使用过程中不按要求定期进行全面防腐维修，网架结构可能出现断裂垮塌，造成群死群伤的严重后果。</w:t>
      </w:r>
    </w:p>
    <w:p w14:paraId="1C1F1D39">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配电装置危险有害因素分析</w:t>
      </w:r>
    </w:p>
    <w:p w14:paraId="3EA907B0">
      <w:pPr>
        <w:rPr>
          <w:color w:val="000000" w:themeColor="text1"/>
          <w14:textFill>
            <w14:solidFill>
              <w14:schemeClr w14:val="tx1"/>
            </w14:solidFill>
          </w14:textFill>
        </w:rPr>
      </w:pPr>
      <w:r>
        <w:rPr>
          <w:rFonts w:hint="eastAsia"/>
          <w:color w:val="000000" w:themeColor="text1"/>
          <w14:textFill>
            <w14:solidFill>
              <w14:schemeClr w14:val="tx1"/>
            </w14:solidFill>
          </w14:textFill>
        </w:rPr>
        <w:t>（1）触电</w:t>
      </w:r>
    </w:p>
    <w:p w14:paraId="2651A434">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电气线路使用时间过长发生老化，造成绝缘失效或电气设备线路绝缘损坏、线路短路，或者没有按规定设置漏电保护器或损坏，从业人员接触带电物体导致触电。</w:t>
      </w:r>
    </w:p>
    <w:p w14:paraId="0E7BBC8C">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作业人员违章作业，停送电失误可能导致触电事故发生。</w:t>
      </w:r>
    </w:p>
    <w:p w14:paraId="6074E824">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14:paraId="01157841">
      <w:pPr>
        <w:rPr>
          <w:color w:val="000000" w:themeColor="text1"/>
          <w14:textFill>
            <w14:solidFill>
              <w14:schemeClr w14:val="tx1"/>
            </w14:solidFill>
          </w14:textFill>
        </w:rPr>
      </w:pPr>
      <w:bookmarkStart w:id="281" w:name="_Hlk124355159"/>
      <w:r>
        <w:rPr>
          <w:rFonts w:hint="eastAsia"/>
          <w:color w:val="000000" w:themeColor="text1"/>
          <w14:textFill>
            <w14:solidFill>
              <w14:schemeClr w14:val="tx1"/>
            </w14:solidFill>
          </w14:textFill>
        </w:rPr>
        <w:t>（2）火灾</w:t>
      </w:r>
    </w:p>
    <w:bookmarkEnd w:id="281"/>
    <w:p w14:paraId="7D043CF2">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电气线路发生短路时造成火灾。</w:t>
      </w:r>
    </w:p>
    <w:p w14:paraId="55AB89B2">
      <w:pPr>
        <w:rPr>
          <w:color w:val="000000" w:themeColor="text1"/>
          <w14:textFill>
            <w14:solidFill>
              <w14:schemeClr w14:val="tx1"/>
            </w14:solidFill>
          </w14:textFill>
        </w:rPr>
      </w:pPr>
      <w:r>
        <w:rPr>
          <w:rFonts w:hint="eastAsia"/>
          <w:color w:val="000000" w:themeColor="text1"/>
          <w14:textFill>
            <w14:solidFill>
              <w14:schemeClr w14:val="tx1"/>
            </w14:solidFill>
          </w14:textFill>
        </w:rPr>
        <w:t>线路、电气设备超载运行导致绝缘材料受热起火。</w:t>
      </w:r>
    </w:p>
    <w:p w14:paraId="13F9C5FC">
      <w:pPr>
        <w:rPr>
          <w:color w:val="000000" w:themeColor="text1"/>
          <w14:textFill>
            <w14:solidFill>
              <w14:schemeClr w14:val="tx1"/>
            </w14:solidFill>
          </w14:textFill>
        </w:rPr>
      </w:pPr>
      <w:r>
        <w:rPr>
          <w:rFonts w:hint="eastAsia"/>
          <w:color w:val="000000" w:themeColor="text1"/>
          <w14:textFill>
            <w14:solidFill>
              <w14:schemeClr w14:val="tx1"/>
            </w14:solidFill>
          </w14:textFill>
        </w:rPr>
        <w:t>照明灯泡过于靠近易燃物易引起火灾。</w:t>
      </w:r>
    </w:p>
    <w:p w14:paraId="47B16A32">
      <w:pPr>
        <w:rPr>
          <w:color w:val="000000" w:themeColor="text1"/>
          <w14:textFill>
            <w14:solidFill>
              <w14:schemeClr w14:val="tx1"/>
            </w14:solidFill>
          </w14:textFill>
        </w:rPr>
      </w:pPr>
      <w:r>
        <w:rPr>
          <w:rFonts w:hint="eastAsia"/>
          <w:color w:val="000000" w:themeColor="text1"/>
          <w14:textFill>
            <w14:solidFill>
              <w14:schemeClr w14:val="tx1"/>
            </w14:solidFill>
          </w14:textFill>
        </w:rPr>
        <w:t>发电机等设备周边存放易燃物质。</w:t>
      </w:r>
    </w:p>
    <w:p w14:paraId="5DF52149">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）中毒和窒息</w:t>
      </w:r>
    </w:p>
    <w:p w14:paraId="6A2072D2">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若发电机排烟管破损，在发电机运行过程中大量烟气聚集容易造成人员中毒和窒息。</w:t>
      </w:r>
    </w:p>
    <w:p w14:paraId="00C012AE">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检、维修过程危险有害因素分析</w:t>
      </w:r>
    </w:p>
    <w:p w14:paraId="6E4269D1">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14:paraId="03D7294C">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加油站在进行油罐检修作业时，若在进入受限空间作业前没有进行置换、置换不彻底或采用纯氧进行置换，在检修过程中由于电焊、火星等会导致罐内的混合气体发生爆炸，造成严重的人员伤亡事故。</w:t>
      </w:r>
    </w:p>
    <w:p w14:paraId="4A5D2FB1">
      <w:pPr>
        <w:rPr>
          <w:color w:val="000000" w:themeColor="text1"/>
          <w14:textFill>
            <w14:solidFill>
              <w14:schemeClr w14:val="tx1"/>
            </w14:solidFill>
          </w14:textFill>
        </w:rPr>
      </w:pPr>
      <w:r>
        <w:rPr>
          <w:rFonts w:hint="eastAsia"/>
          <w:color w:val="000000" w:themeColor="text1"/>
          <w14:textFill>
            <w14:solidFill>
              <w14:schemeClr w14:val="tx1"/>
            </w14:solidFill>
          </w14:textFill>
        </w:rPr>
        <w:t>（2）触电</w:t>
      </w:r>
    </w:p>
    <w:p w14:paraId="58B345D1">
      <w:pPr>
        <w:rPr>
          <w:color w:val="000000" w:themeColor="text1"/>
          <w14:textFill>
            <w14:solidFill>
              <w14:schemeClr w14:val="tx1"/>
            </w14:solidFill>
          </w14:textFill>
        </w:rPr>
      </w:pPr>
      <w:r>
        <w:rPr>
          <w:rFonts w:hint="eastAsia"/>
          <w:color w:val="000000" w:themeColor="text1"/>
          <w14:textFill>
            <w14:solidFill>
              <w14:schemeClr w14:val="tx1"/>
            </w14:solidFill>
          </w14:textFill>
        </w:rPr>
        <w:t>如果电气设备、线路存在缺陷，检修中绝缘损坏漏电，未安装漏电保护设施或损坏，检修作业安全距离不够，作业人员接触带电物体或设备将导致触电事故发生。</w:t>
      </w:r>
    </w:p>
    <w:p w14:paraId="40354646">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安全管理上存在缺陷，检修时突然送电造成触电事故发生。</w:t>
      </w:r>
    </w:p>
    <w:p w14:paraId="0616CD36">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14:paraId="7C92624C">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作业人员进入受限空间作业，与电气设备频繁接触，如果照明灯具和电动工具漏电，会导致作业人员触电。</w:t>
      </w:r>
    </w:p>
    <w:p w14:paraId="12B0236B">
      <w:pPr>
        <w:rPr>
          <w:color w:val="000000" w:themeColor="text1"/>
          <w14:textFill>
            <w14:solidFill>
              <w14:schemeClr w14:val="tx1"/>
            </w14:solidFill>
          </w14:textFill>
        </w:rPr>
      </w:pPr>
      <w:r>
        <w:rPr>
          <w:rFonts w:hint="eastAsia"/>
          <w:color w:val="000000" w:themeColor="text1"/>
          <w14:textFill>
            <w14:solidFill>
              <w14:schemeClr w14:val="tx1"/>
            </w14:solidFill>
          </w14:textFill>
        </w:rPr>
        <w:t>（3）中毒和窒息</w:t>
      </w:r>
    </w:p>
    <w:p w14:paraId="72A9D069">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加油站存在油罐检修作业，即存在受限空间作业，如在作业中没有进行通风或通风不良，作业人员将会因含氧量降低而窒息死亡。</w:t>
      </w:r>
    </w:p>
    <w:p w14:paraId="6C385F3E">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在进行油罐检修作业前没有进行置换、置换不彻底，罐内有大量的油蒸气，若作业人员吸入将导致中毒。</w:t>
      </w:r>
    </w:p>
    <w:p w14:paraId="58D67E59">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（4）高处坠落</w:t>
      </w:r>
    </w:p>
    <w:p w14:paraId="1979ACF2">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在对罩棚及罩棚下的照明灯具进行检修时，若防护设施缺陷或未有防护措施等，有发生高处坠落的危险。</w:t>
      </w:r>
    </w:p>
    <w:p w14:paraId="69052256">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在对罩棚、站房、辅助用房进行检修或其他高处检修作业或在高处巡检，若防护设施缺陷或未有防护措施等，有发生高处坠落的危险。</w:t>
      </w:r>
    </w:p>
    <w:p w14:paraId="0F5129A8">
      <w:pPr>
        <w:rPr>
          <w:color w:val="000000" w:themeColor="text1"/>
          <w14:textFill>
            <w14:solidFill>
              <w14:schemeClr w14:val="tx1"/>
            </w14:solidFill>
          </w14:textFill>
        </w:rPr>
      </w:pPr>
      <w:r>
        <w:rPr>
          <w:rFonts w:hint="eastAsia"/>
          <w:color w:val="000000" w:themeColor="text1"/>
          <w14:textFill>
            <w14:solidFill>
              <w14:schemeClr w14:val="tx1"/>
            </w14:solidFill>
          </w14:textFill>
        </w:rPr>
        <w:t>（5）机械伤害</w:t>
      </w:r>
    </w:p>
    <w:p w14:paraId="40B866C7">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在进行检修时，作业人员可能会使用机械设备或手持式电动工具，若外露转动部、安全防护装置不完善或操作人员违章作业，人体接触运转部件将有可能发生机械伤害。</w:t>
      </w:r>
    </w:p>
    <w:p w14:paraId="2623480E">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对于发电机，在对发电机拆盖检修后未及时恢复，或违章作业，人体接触运转部件将有可能发生机械伤害。</w:t>
      </w:r>
    </w:p>
    <w:p w14:paraId="4AFBA567">
      <w:pPr>
        <w:rPr>
          <w:color w:val="000000" w:themeColor="text1"/>
          <w14:textFill>
            <w14:solidFill>
              <w14:schemeClr w14:val="tx1"/>
            </w14:solidFill>
          </w14:textFill>
        </w:rPr>
      </w:pPr>
      <w:r>
        <w:rPr>
          <w:rFonts w:hint="eastAsia"/>
          <w:color w:val="000000" w:themeColor="text1"/>
          <w14:textFill>
            <w14:solidFill>
              <w14:schemeClr w14:val="tx1"/>
            </w14:solidFill>
          </w14:textFill>
        </w:rPr>
        <w:t>（6）其他</w:t>
      </w:r>
    </w:p>
    <w:p w14:paraId="54E31FD9">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在对罩棚及罩棚下的照明灯具进行检修时，若未采取有效的管理措施，检修过程中物体掉下将会对检修区下方通过的人员造成伤害。</w:t>
      </w:r>
    </w:p>
    <w:p w14:paraId="5F31A722">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在加油站检修过程中，若由于管理存在缺陷，未对加油站采取停业措施，外部车辆进入加油站将可能对检修人员造成伤害。</w:t>
      </w:r>
    </w:p>
    <w:p w14:paraId="396D65D1">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特殊作业危险性分析</w:t>
      </w:r>
    </w:p>
    <w:p w14:paraId="1D3BB8C9">
      <w:pPr>
        <w:rPr>
          <w:color w:val="000000" w:themeColor="text1"/>
          <w14:textFill>
            <w14:solidFill>
              <w14:schemeClr w14:val="tx1"/>
            </w14:solidFill>
          </w14:textFill>
        </w:rPr>
      </w:pPr>
      <w:r>
        <w:rPr>
          <w:rFonts w:hint="eastAsia"/>
          <w:color w:val="000000" w:themeColor="text1"/>
          <w14:textFill>
            <w14:solidFill>
              <w14:schemeClr w14:val="tx1"/>
            </w14:solidFill>
          </w14:textFill>
        </w:rPr>
        <w:t>1.动火作业危险、有害因素分析</w:t>
      </w:r>
    </w:p>
    <w:p w14:paraId="76E9530C">
      <w:pPr>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动火作业是指：</w:t>
      </w:r>
      <w:r>
        <w:rPr>
          <w:color w:val="000000" w:themeColor="text1"/>
          <w14:textFill>
            <w14:solidFill>
              <w14:schemeClr w14:val="tx1"/>
            </w14:solidFill>
          </w14:textFill>
        </w:rPr>
        <w:t>直接或间接产生明火的工艺设备以外的禁火区内可能产生火焰、火花或炽热表面的非常规作业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如使用电焊、气焊（割）、喷灯、电钻、砂轮等进行的作业。</w:t>
      </w:r>
    </w:p>
    <w:p w14:paraId="0DAA041D">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w:t>
      </w:r>
      <w:r>
        <w:rPr>
          <w:rFonts w:hint="eastAsia"/>
          <w:color w:val="000000" w:themeColor="text1"/>
          <w14:textFill>
            <w14:solidFill>
              <w14:schemeClr w14:val="tx1"/>
            </w14:solidFill>
          </w14:textFill>
        </w:rPr>
        <w:t>无</w:t>
      </w:r>
      <w:r>
        <w:rPr>
          <w:color w:val="000000" w:themeColor="text1"/>
          <w14:textFill>
            <w14:solidFill>
              <w14:schemeClr w14:val="tx1"/>
            </w14:solidFill>
          </w14:textFill>
        </w:rPr>
        <w:t>专人监火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清除动火现场及周围的易燃物品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采取其他有效安全防火措施</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配备消防器材</w:t>
      </w:r>
      <w:r>
        <w:rPr>
          <w:rFonts w:hint="eastAsia"/>
          <w:color w:val="000000" w:themeColor="text1"/>
          <w14:textFill>
            <w14:solidFill>
              <w14:schemeClr w14:val="tx1"/>
            </w14:solidFill>
          </w14:textFill>
        </w:rPr>
        <w:t>，可能导致火灾。</w:t>
      </w:r>
    </w:p>
    <w:p w14:paraId="32B3DB75">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动火点周围或其下方的地面如有可燃物、空洞、窨井、地沟、水封等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动火点周围有可能</w:t>
      </w: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易燃、可燃物料的设备</w:t>
      </w:r>
      <w:r>
        <w:rPr>
          <w:rFonts w:hint="eastAsia"/>
          <w:color w:val="000000" w:themeColor="text1"/>
          <w14:textFill>
            <w14:solidFill>
              <w14:schemeClr w14:val="tx1"/>
            </w14:solidFill>
          </w14:textFill>
        </w:rPr>
        <w:t>，可能导致火灾。</w:t>
      </w:r>
    </w:p>
    <w:p w14:paraId="52A622E6">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在盛有或盛装过</w:t>
      </w:r>
      <w:r>
        <w:rPr>
          <w:rFonts w:hint="eastAsia"/>
          <w:color w:val="000000" w:themeColor="text1"/>
          <w14:textFill>
            <w14:solidFill>
              <w14:schemeClr w14:val="tx1"/>
            </w14:solidFill>
          </w14:textFill>
        </w:rPr>
        <w:t>油品</w:t>
      </w:r>
      <w:r>
        <w:rPr>
          <w:color w:val="000000" w:themeColor="text1"/>
          <w14:textFill>
            <w14:solidFill>
              <w14:schemeClr w14:val="tx1"/>
            </w14:solidFill>
          </w14:textFill>
        </w:rPr>
        <w:t>的设备、管道等设施上动火作业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将其与生产系统彻底隔离</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进行清洗、置换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分析合格后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，可能导致火灾。</w:t>
      </w:r>
    </w:p>
    <w:p w14:paraId="2FD7FD0A">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使用气焊、气割动火作业时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w:t>
      </w:r>
      <w:r>
        <w:rPr>
          <w:rFonts w:hint="eastAsia"/>
          <w:color w:val="000000" w:themeColor="text1"/>
          <w14:textFill>
            <w14:solidFill>
              <w14:schemeClr w14:val="tx1"/>
            </w14:solidFill>
          </w14:textFill>
        </w:rPr>
        <w:t>与</w:t>
      </w:r>
      <w:r>
        <w:rPr>
          <w:color w:val="000000" w:themeColor="text1"/>
          <w14:textFill>
            <w14:solidFill>
              <w14:schemeClr w14:val="tx1"/>
            </w14:solidFill>
          </w14:textFill>
        </w:rPr>
        <w:t>氧气瓶之间距</w:t>
      </w:r>
      <w:r>
        <w:rPr>
          <w:rFonts w:hint="eastAsia"/>
          <w:color w:val="000000" w:themeColor="text1"/>
          <w14:textFill>
            <w14:solidFill>
              <w14:schemeClr w14:val="tx1"/>
            </w14:solidFill>
          </w14:textFill>
        </w:rPr>
        <w:t>不等可能在发生火灾时造成火灾事故的扩大。</w:t>
      </w:r>
    </w:p>
    <w:p w14:paraId="052D3422">
      <w:pPr>
        <w:rPr>
          <w:color w:val="000000" w:themeColor="text1"/>
          <w14:textFill>
            <w14:solidFill>
              <w14:schemeClr w14:val="tx1"/>
            </w14:solidFill>
          </w14:textFill>
        </w:rPr>
      </w:pPr>
      <w:r>
        <w:rPr>
          <w:rFonts w:hint="eastAsia"/>
          <w:color w:val="000000" w:themeColor="text1"/>
          <w14:textFill>
            <w14:solidFill>
              <w14:schemeClr w14:val="tx1"/>
            </w14:solidFill>
          </w14:textFill>
        </w:rPr>
        <w:t>（5）动火</w:t>
      </w:r>
      <w:r>
        <w:rPr>
          <w:color w:val="000000" w:themeColor="text1"/>
          <w14:textFill>
            <w14:solidFill>
              <w14:schemeClr w14:val="tx1"/>
            </w14:solidFill>
          </w14:textFill>
        </w:rPr>
        <w:t>作业完毕</w:t>
      </w:r>
      <w:r>
        <w:rPr>
          <w:rFonts w:hint="eastAsia"/>
          <w:color w:val="000000" w:themeColor="text1"/>
          <w14:textFill>
            <w14:solidFill>
              <w14:schemeClr w14:val="tx1"/>
            </w14:solidFill>
          </w14:textFill>
        </w:rPr>
        <w:t>后未</w:t>
      </w:r>
      <w:r>
        <w:rPr>
          <w:color w:val="000000" w:themeColor="text1"/>
          <w14:textFill>
            <w14:solidFill>
              <w14:schemeClr w14:val="tx1"/>
            </w14:solidFill>
          </w14:textFill>
        </w:rPr>
        <w:t>清理现场</w:t>
      </w:r>
      <w:r>
        <w:rPr>
          <w:rFonts w:hint="eastAsia"/>
          <w:color w:val="000000" w:themeColor="text1"/>
          <w14:textFill>
            <w14:solidFill>
              <w14:schemeClr w14:val="tx1"/>
            </w14:solidFill>
          </w14:textFill>
        </w:rPr>
        <w:t>并</w:t>
      </w:r>
      <w:r>
        <w:rPr>
          <w:color w:val="000000" w:themeColor="text1"/>
          <w14:textFill>
            <w14:solidFill>
              <w14:schemeClr w14:val="tx1"/>
            </w14:solidFill>
          </w14:textFill>
        </w:rPr>
        <w:t>确认无残留火种后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离开</w:t>
      </w:r>
      <w:r>
        <w:rPr>
          <w:rFonts w:hint="eastAsia"/>
          <w:color w:val="000000" w:themeColor="text1"/>
          <w14:textFill>
            <w14:solidFill>
              <w14:schemeClr w14:val="tx1"/>
            </w14:solidFill>
          </w14:textFill>
        </w:rPr>
        <w:t>，可能导致火灾事故。</w:t>
      </w:r>
    </w:p>
    <w:p w14:paraId="2B95C81A">
      <w:pPr>
        <w:rPr>
          <w:color w:val="000000" w:themeColor="text1"/>
          <w14:textFill>
            <w14:solidFill>
              <w14:schemeClr w14:val="tx1"/>
            </w14:solidFill>
          </w14:textFill>
        </w:rPr>
      </w:pPr>
      <w:r>
        <w:rPr>
          <w:rFonts w:hint="eastAsia"/>
          <w:color w:val="000000" w:themeColor="text1"/>
          <w14:textFill>
            <w14:solidFill>
              <w14:schemeClr w14:val="tx1"/>
            </w14:solidFill>
          </w14:textFill>
        </w:rPr>
        <w:t>（6）在油罐等设备内部进行动火作业前未进行动火分析，可能导致火灾、爆炸事故。</w:t>
      </w:r>
    </w:p>
    <w:p w14:paraId="518F8CFF">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2.受限空间作业危险、有害因素分析</w:t>
      </w:r>
    </w:p>
    <w:p w14:paraId="7C3CD028">
      <w:pPr>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受限空间是指：</w:t>
      </w:r>
      <w:r>
        <w:rPr>
          <w:color w:val="000000" w:themeColor="text1"/>
          <w14:textFill>
            <w14:solidFill>
              <w14:schemeClr w14:val="tx1"/>
            </w14:solidFill>
          </w14:textFill>
        </w:rPr>
        <w:t>进出口受限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通风不良</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可能存在易燃易爆、有毒有害物质或缺氧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对进入人员的身体健康和生命安全构成威胁的封闭、半封闭设施及场所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如罐、</w:t>
      </w:r>
      <w:r>
        <w:rPr>
          <w:rFonts w:hint="eastAsia"/>
          <w:color w:val="000000" w:themeColor="text1"/>
          <w14:textFill>
            <w14:solidFill>
              <w14:schemeClr w14:val="tx1"/>
            </w14:solidFill>
          </w14:textFill>
        </w:rPr>
        <w:t>操作井</w:t>
      </w:r>
      <w:r>
        <w:rPr>
          <w:color w:val="000000" w:themeColor="text1"/>
          <w14:textFill>
            <w14:solidFill>
              <w14:schemeClr w14:val="tx1"/>
            </w14:solidFill>
          </w14:textFill>
        </w:rPr>
        <w:t>、坑（池）</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受限空间作业即</w:t>
      </w:r>
      <w:r>
        <w:rPr>
          <w:color w:val="000000" w:themeColor="text1"/>
          <w14:textFill>
            <w14:solidFill>
              <w14:schemeClr w14:val="tx1"/>
            </w14:solidFill>
          </w14:textFill>
        </w:rPr>
        <w:t>进入或探入受限空间进行的作业。</w:t>
      </w:r>
    </w:p>
    <w:p w14:paraId="48258AE7">
      <w:pPr>
        <w:rPr>
          <w:color w:val="000000" w:themeColor="text1"/>
          <w14:textFill>
            <w14:solidFill>
              <w14:schemeClr w14:val="tx1"/>
            </w14:solidFill>
          </w14:textFill>
        </w:rPr>
      </w:pPr>
      <w:r>
        <w:rPr>
          <w:rFonts w:hint="eastAsia"/>
          <w:color w:val="000000" w:themeColor="text1"/>
          <w14:textFill>
            <w14:solidFill>
              <w14:schemeClr w14:val="tx1"/>
            </w14:solidFill>
          </w14:textFill>
        </w:rPr>
        <w:t>（1）进入受限空间作业</w:t>
      </w:r>
      <w:r>
        <w:rPr>
          <w:color w:val="000000" w:themeColor="text1"/>
          <w14:textFill>
            <w14:solidFill>
              <w14:schemeClr w14:val="tx1"/>
            </w14:solidFill>
          </w14:textFill>
        </w:rPr>
        <w:t>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盛装（过）的物料特性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对受限空间进行清洗或置换</w:t>
      </w:r>
      <w:r>
        <w:rPr>
          <w:rFonts w:hint="eastAsia"/>
          <w:color w:val="000000" w:themeColor="text1"/>
          <w14:textFill>
            <w14:solidFill>
              <w14:schemeClr w14:val="tx1"/>
            </w14:solidFill>
          </w14:textFill>
        </w:rPr>
        <w:t>。</w:t>
      </w:r>
    </w:p>
    <w:p w14:paraId="6B4B1695">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（2）受限空间作业时未能</w:t>
      </w:r>
      <w:r>
        <w:rPr>
          <w:color w:val="000000" w:themeColor="text1"/>
          <w14:textFill>
            <w14:solidFill>
              <w14:schemeClr w14:val="tx1"/>
            </w14:solidFill>
          </w14:textFill>
        </w:rPr>
        <w:t>保持</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空气流通良好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w:t>
      </w:r>
      <w:r>
        <w:rPr>
          <w:rFonts w:hint="eastAsia"/>
          <w:color w:val="000000" w:themeColor="text1"/>
          <w14:textFill>
            <w14:solidFill>
              <w14:schemeClr w14:val="tx1"/>
            </w14:solidFill>
          </w14:textFill>
        </w:rPr>
        <w:t>能导致在受限空间内作业时发生窒息。</w:t>
      </w:r>
    </w:p>
    <w:p w14:paraId="21063F78">
      <w:pPr>
        <w:rPr>
          <w:color w:val="000000" w:themeColor="text1"/>
          <w14:textFill>
            <w14:solidFill>
              <w14:schemeClr w14:val="tx1"/>
            </w14:solidFill>
          </w14:textFill>
        </w:rPr>
      </w:pPr>
      <w:r>
        <w:rPr>
          <w:rFonts w:hint="eastAsia"/>
          <w:color w:val="000000" w:themeColor="text1"/>
          <w14:textFill>
            <w14:solidFill>
              <w14:schemeClr w14:val="tx1"/>
            </w14:solidFill>
          </w14:textFill>
        </w:rPr>
        <w:t>（3）受限空间</w:t>
      </w:r>
      <w:r>
        <w:rPr>
          <w:color w:val="000000" w:themeColor="text1"/>
          <w14:textFill>
            <w14:solidFill>
              <w14:schemeClr w14:val="tx1"/>
            </w14:solidFill>
          </w14:textFill>
        </w:rPr>
        <w:t>照明电压</w:t>
      </w:r>
      <w:r>
        <w:rPr>
          <w:rFonts w:hint="eastAsia"/>
          <w:color w:val="000000" w:themeColor="text1"/>
          <w14:textFill>
            <w14:solidFill>
              <w14:schemeClr w14:val="tx1"/>
            </w14:solidFill>
          </w14:textFill>
        </w:rPr>
        <w:t>若大于</w:t>
      </w:r>
      <w:r>
        <w:rPr>
          <w:color w:val="000000" w:themeColor="text1"/>
          <w14:textFill>
            <w14:solidFill>
              <w14:schemeClr w14:val="tx1"/>
            </w14:solidFill>
          </w14:textFill>
        </w:rPr>
        <w:t>36V</w:t>
      </w:r>
      <w:r>
        <w:rPr>
          <w:rFonts w:hint="eastAsia"/>
          <w:color w:val="000000" w:themeColor="text1"/>
          <w14:textFill>
            <w14:solidFill>
              <w14:schemeClr w14:val="tx1"/>
            </w14:solidFill>
          </w14:textFill>
        </w:rPr>
        <w:t>，在受限空间内作业有可能引发触电事故。</w:t>
      </w:r>
    </w:p>
    <w:p w14:paraId="01F81378">
      <w:pPr>
        <w:rPr>
          <w:color w:val="000000" w:themeColor="text1"/>
          <w14:textFill>
            <w14:solidFill>
              <w14:schemeClr w14:val="tx1"/>
            </w14:solidFill>
          </w14:textFill>
        </w:rPr>
      </w:pPr>
      <w:r>
        <w:rPr>
          <w:rFonts w:hint="eastAsia"/>
          <w:color w:val="000000" w:themeColor="text1"/>
          <w14:textFill>
            <w14:solidFill>
              <w14:schemeClr w14:val="tx1"/>
            </w14:solidFill>
          </w14:textFill>
        </w:rPr>
        <w:t>（4）受限空间外无专人监护或监护人员作业时间内离开均有可能导致事故发生。</w:t>
      </w:r>
    </w:p>
    <w:p w14:paraId="61E44AD0">
      <w:pPr>
        <w:rPr>
          <w:color w:val="000000" w:themeColor="text1"/>
          <w14:textFill>
            <w14:solidFill>
              <w14:schemeClr w14:val="tx1"/>
            </w14:solidFill>
          </w14:textFill>
        </w:rPr>
      </w:pPr>
      <w:r>
        <w:rPr>
          <w:rFonts w:hint="eastAsia"/>
          <w:color w:val="000000" w:themeColor="text1"/>
          <w14:textFill>
            <w14:solidFill>
              <w14:schemeClr w14:val="tx1"/>
            </w14:solidFill>
          </w14:textFill>
        </w:rPr>
        <w:t>（5）受限空间</w:t>
      </w:r>
      <w:r>
        <w:rPr>
          <w:color w:val="000000" w:themeColor="text1"/>
          <w14:textFill>
            <w14:solidFill>
              <w14:schemeClr w14:val="tx1"/>
            </w14:solidFill>
          </w14:textFill>
        </w:rPr>
        <w:t>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设置安全警示标志</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备有空气呼吸器、消防器材和清水等相应的应急用品</w:t>
      </w:r>
      <w:r>
        <w:rPr>
          <w:rFonts w:hint="eastAsia"/>
          <w:color w:val="000000" w:themeColor="text1"/>
          <w14:textFill>
            <w14:solidFill>
              <w14:schemeClr w14:val="tx1"/>
            </w14:solidFill>
          </w14:textFill>
        </w:rPr>
        <w:t>，可能导致火灾、人员伤亡事故。</w:t>
      </w:r>
    </w:p>
    <w:p w14:paraId="515C391A">
      <w:pPr>
        <w:rPr>
          <w:color w:val="000000" w:themeColor="text1"/>
          <w14:textFill>
            <w14:solidFill>
              <w14:schemeClr w14:val="tx1"/>
            </w14:solidFill>
          </w14:textFill>
        </w:rPr>
      </w:pPr>
      <w:r>
        <w:rPr>
          <w:rFonts w:hint="eastAsia"/>
          <w:color w:val="000000" w:themeColor="text1"/>
          <w14:textFill>
            <w14:solidFill>
              <w14:schemeClr w14:val="tx1"/>
            </w14:solidFill>
          </w14:textFill>
        </w:rPr>
        <w:t>3.高处作业危险、有害因素分析</w:t>
      </w:r>
    </w:p>
    <w:p w14:paraId="726B78B3">
      <w:pPr>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高处作业是指：</w:t>
      </w:r>
      <w:r>
        <w:rPr>
          <w:color w:val="000000" w:themeColor="text1"/>
          <w14:textFill>
            <w14:solidFill>
              <w14:schemeClr w14:val="tx1"/>
            </w14:solidFill>
          </w14:textFill>
        </w:rPr>
        <w:t>在距坠落基准面2m及2m以上有可能坠落的高处进行的作业。</w:t>
      </w:r>
    </w:p>
    <w:p w14:paraId="66DEB361">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w:t>
      </w:r>
      <w:r>
        <w:rPr>
          <w:rFonts w:hint="eastAsia"/>
          <w:color w:val="000000" w:themeColor="text1"/>
          <w14:textFill>
            <w14:solidFill>
              <w14:schemeClr w14:val="tx1"/>
            </w14:solidFill>
          </w14:textFill>
        </w:rPr>
        <w:t>对罩棚顶部维修</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铺设牢固的脚手板并加以固定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脚手板上</w:t>
      </w:r>
      <w:r>
        <w:rPr>
          <w:rFonts w:hint="eastAsia"/>
          <w:color w:val="000000" w:themeColor="text1"/>
          <w14:textFill>
            <w14:solidFill>
              <w14:schemeClr w14:val="tx1"/>
            </w14:solidFill>
          </w14:textFill>
        </w:rPr>
        <w:t>未设置</w:t>
      </w:r>
      <w:r>
        <w:rPr>
          <w:color w:val="000000" w:themeColor="text1"/>
          <w14:textFill>
            <w14:solidFill>
              <w14:schemeClr w14:val="tx1"/>
            </w14:solidFill>
          </w14:textFill>
        </w:rPr>
        <w:t>有防滑措施</w:t>
      </w:r>
      <w:r>
        <w:rPr>
          <w:rFonts w:hint="eastAsia"/>
          <w:color w:val="000000" w:themeColor="text1"/>
          <w14:textFill>
            <w14:solidFill>
              <w14:schemeClr w14:val="tx1"/>
            </w14:solidFill>
          </w14:textFill>
        </w:rPr>
        <w:t>等，可能发生高处坠落事故</w:t>
      </w:r>
      <w:r>
        <w:rPr>
          <w:color w:val="000000" w:themeColor="text1"/>
          <w14:textFill>
            <w14:solidFill>
              <w14:schemeClr w14:val="tx1"/>
            </w14:solidFill>
          </w14:textFill>
        </w:rPr>
        <w:t>。</w:t>
      </w:r>
    </w:p>
    <w:p w14:paraId="448EE02C">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雨天和雪天作业时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采取可靠的防滑、防寒措施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遇有五级以上强风、浓雾等恶劣气候</w:t>
      </w:r>
      <w:r>
        <w:rPr>
          <w:rFonts w:hint="eastAsia"/>
          <w:color w:val="000000" w:themeColor="text1"/>
          <w14:textFill>
            <w14:solidFill>
              <w14:schemeClr w14:val="tx1"/>
            </w14:solidFill>
          </w14:textFill>
        </w:rPr>
        <w:t>，仍然</w:t>
      </w:r>
      <w:r>
        <w:rPr>
          <w:color w:val="000000" w:themeColor="text1"/>
          <w14:textFill>
            <w14:solidFill>
              <w14:schemeClr w14:val="tx1"/>
            </w14:solidFill>
          </w14:textFill>
        </w:rPr>
        <w:t>进行高处作业、露天攀登与悬空高处作业</w:t>
      </w:r>
      <w:r>
        <w:rPr>
          <w:rFonts w:hint="eastAsia"/>
          <w:color w:val="000000" w:themeColor="text1"/>
          <w14:textFill>
            <w14:solidFill>
              <w14:schemeClr w14:val="tx1"/>
            </w14:solidFill>
          </w14:textFill>
        </w:rPr>
        <w:t>，可能发生高处坠落事故</w:t>
      </w:r>
      <w:r>
        <w:rPr>
          <w:color w:val="000000" w:themeColor="text1"/>
          <w14:textFill>
            <w14:solidFill>
              <w14:schemeClr w14:val="tx1"/>
            </w14:solidFill>
          </w14:textFill>
        </w:rPr>
        <w:t>。</w:t>
      </w:r>
    </w:p>
    <w:p w14:paraId="54BB1545">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作业使用的工具、材料、零件等</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装入工具袋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上下时手持</w:t>
      </w:r>
      <w:r>
        <w:rPr>
          <w:rFonts w:hint="eastAsia"/>
          <w:color w:val="000000" w:themeColor="text1"/>
          <w14:textFill>
            <w14:solidFill>
              <w14:schemeClr w14:val="tx1"/>
            </w14:solidFill>
          </w14:textFill>
        </w:rPr>
        <w:t>工具，</w:t>
      </w:r>
      <w:r>
        <w:rPr>
          <w:color w:val="000000" w:themeColor="text1"/>
          <w14:textFill>
            <w14:solidFill>
              <w14:schemeClr w14:val="tx1"/>
            </w14:solidFill>
          </w14:textFill>
        </w:rPr>
        <w:t>投掷工具、材料及其他物品</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易滑动、易滚动的工具、材料堆放在脚手架上时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采取防坠落措施</w:t>
      </w:r>
      <w:r>
        <w:rPr>
          <w:rFonts w:hint="eastAsia"/>
          <w:color w:val="000000" w:themeColor="text1"/>
          <w14:textFill>
            <w14:solidFill>
              <w14:schemeClr w14:val="tx1"/>
            </w14:solidFill>
          </w14:textFill>
        </w:rPr>
        <w:t>，均有可能发生物体坠落、打击事故。</w:t>
      </w:r>
    </w:p>
    <w:p w14:paraId="0AF8FF5E">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与其他作业交叉进行时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按指定的路线上下</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上下垂直作业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采取可靠的隔离措施</w:t>
      </w:r>
      <w:r>
        <w:rPr>
          <w:rFonts w:hint="eastAsia"/>
          <w:color w:val="000000" w:themeColor="text1"/>
          <w14:textFill>
            <w14:solidFill>
              <w14:schemeClr w14:val="tx1"/>
            </w14:solidFill>
          </w14:textFill>
        </w:rPr>
        <w:t>，均有可能发生物体打击、高处坠落事故发生</w:t>
      </w:r>
      <w:r>
        <w:rPr>
          <w:color w:val="000000" w:themeColor="text1"/>
          <w14:textFill>
            <w14:solidFill>
              <w14:schemeClr w14:val="tx1"/>
            </w14:solidFill>
          </w14:textFill>
        </w:rPr>
        <w:t>。</w:t>
      </w:r>
    </w:p>
    <w:p w14:paraId="59474C8D">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因作业必需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临时拆除或变动安全防护设施时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经作业审批人员同意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采取相应的防护措施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作业后</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立即恢复</w:t>
      </w:r>
      <w:r>
        <w:rPr>
          <w:rFonts w:hint="eastAsia"/>
          <w:color w:val="000000" w:themeColor="text1"/>
          <w14:textFill>
            <w14:solidFill>
              <w14:schemeClr w14:val="tx1"/>
            </w14:solidFill>
          </w14:textFill>
        </w:rPr>
        <w:t>，均有可能发生高处坠落等事故的发生。</w:t>
      </w:r>
    </w:p>
    <w:p w14:paraId="15148D30">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拆除脚手架、防护棚时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设警戒区并派专人监护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上部和下部同时施工</w:t>
      </w:r>
      <w:r>
        <w:rPr>
          <w:rFonts w:hint="eastAsia"/>
          <w:color w:val="000000" w:themeColor="text1"/>
          <w14:textFill>
            <w14:solidFill>
              <w14:schemeClr w14:val="tx1"/>
            </w14:solidFill>
          </w14:textFill>
        </w:rPr>
        <w:t>，均有可能发生高处坠落、物体打击等事故的发生</w:t>
      </w:r>
      <w:r>
        <w:rPr>
          <w:color w:val="000000" w:themeColor="text1"/>
          <w14:textFill>
            <w14:solidFill>
              <w14:schemeClr w14:val="tx1"/>
            </w14:solidFill>
          </w14:textFill>
        </w:rPr>
        <w:t>。</w:t>
      </w:r>
    </w:p>
    <w:p w14:paraId="60E5E9D2">
      <w:pPr>
        <w:rPr>
          <w:color w:val="000000" w:themeColor="text1"/>
          <w14:textFill>
            <w14:solidFill>
              <w14:schemeClr w14:val="tx1"/>
            </w14:solidFill>
          </w14:textFill>
        </w:rPr>
      </w:pPr>
      <w:r>
        <w:rPr>
          <w:rFonts w:hint="eastAsia"/>
          <w:color w:val="000000" w:themeColor="text1"/>
          <w14:textFill>
            <w14:solidFill>
              <w14:schemeClr w14:val="tx1"/>
            </w14:solidFill>
          </w14:textFill>
        </w:rPr>
        <w:t>4.临时用电危险、有害因素分析</w:t>
      </w:r>
    </w:p>
    <w:p w14:paraId="1186A461">
      <w:pPr>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临时用电是指：</w:t>
      </w:r>
      <w:r>
        <w:rPr>
          <w:color w:val="000000" w:themeColor="text1"/>
          <w14:textFill>
            <w14:solidFill>
              <w14:schemeClr w14:val="tx1"/>
            </w14:solidFill>
          </w14:textFill>
        </w:rPr>
        <w:t>正式运行的电源上所接的非永久性用电。</w:t>
      </w:r>
    </w:p>
    <w:p w14:paraId="598FAC36">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在运行的生产</w:t>
      </w:r>
      <w:r>
        <w:rPr>
          <w:rFonts w:hint="eastAsia"/>
          <w:color w:val="000000" w:themeColor="text1"/>
          <w14:textFill>
            <w14:solidFill>
              <w14:schemeClr w14:val="tx1"/>
            </w14:solidFill>
          </w14:textFill>
        </w:rPr>
        <w:t>设备</w:t>
      </w:r>
      <w:r>
        <w:rPr>
          <w:color w:val="000000" w:themeColor="text1"/>
          <w14:textFill>
            <w14:solidFill>
              <w14:schemeClr w14:val="tx1"/>
            </w14:solidFill>
          </w14:textFill>
        </w:rPr>
        <w:t>、罐区和具有火灾爆炸危险场所内</w:t>
      </w:r>
      <w:r>
        <w:rPr>
          <w:rFonts w:hint="eastAsia"/>
          <w:color w:val="000000" w:themeColor="text1"/>
          <w14:textFill>
            <w14:solidFill>
              <w14:schemeClr w14:val="tx1"/>
            </w14:solidFill>
          </w14:textFill>
        </w:rPr>
        <w:t>违规</w:t>
      </w:r>
      <w:r>
        <w:rPr>
          <w:color w:val="000000" w:themeColor="text1"/>
          <w14:textFill>
            <w14:solidFill>
              <w14:schemeClr w14:val="tx1"/>
            </w14:solidFill>
          </w14:textFill>
        </w:rPr>
        <w:t>接临时电源</w:t>
      </w:r>
      <w:r>
        <w:rPr>
          <w:rFonts w:hint="eastAsia"/>
          <w:color w:val="000000" w:themeColor="text1"/>
          <w14:textFill>
            <w14:solidFill>
              <w14:schemeClr w14:val="tx1"/>
            </w14:solidFill>
          </w14:textFill>
        </w:rPr>
        <w:t>，可能导致火灾、爆炸事故的发生。</w:t>
      </w:r>
    </w:p>
    <w:p w14:paraId="261A8E66">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在开关上接引、拆除临时用电线路时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其上级开关</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断电上锁并加挂安全警示标牌</w:t>
      </w:r>
      <w:r>
        <w:rPr>
          <w:rFonts w:hint="eastAsia"/>
          <w:color w:val="000000" w:themeColor="text1"/>
          <w14:textFill>
            <w14:solidFill>
              <w14:schemeClr w14:val="tx1"/>
            </w14:solidFill>
          </w14:textFill>
        </w:rPr>
        <w:t>，可能引发触电伤害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w:t>
      </w:r>
    </w:p>
    <w:p w14:paraId="3ACDCC48">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设置保护开关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检查电气装置和保护设施的可靠性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设置接地保护</w:t>
      </w:r>
      <w:r>
        <w:rPr>
          <w:rFonts w:hint="eastAsia"/>
          <w:color w:val="000000" w:themeColor="text1"/>
          <w14:textFill>
            <w14:solidFill>
              <w14:schemeClr w14:val="tx1"/>
            </w14:solidFill>
          </w14:textFill>
        </w:rPr>
        <w:t>，均有可能导致电气火灾、触电事故的发生。</w:t>
      </w:r>
    </w:p>
    <w:p w14:paraId="77536CE6">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临时用电线路经过有高温、振动、积水及产生机械损伤等区域</w:t>
      </w:r>
      <w:r>
        <w:rPr>
          <w:rFonts w:hint="eastAsia"/>
          <w:color w:val="000000" w:themeColor="text1"/>
          <w14:textFill>
            <w14:solidFill>
              <w14:schemeClr w14:val="tx1"/>
            </w14:solidFill>
          </w14:textFill>
        </w:rPr>
        <w:t>，若</w:t>
      </w:r>
      <w:r>
        <w:rPr>
          <w:color w:val="000000" w:themeColor="text1"/>
          <w14:textFill>
            <w14:solidFill>
              <w14:schemeClr w14:val="tx1"/>
            </w14:solidFill>
          </w14:textFill>
        </w:rPr>
        <w:t>有接头</w:t>
      </w:r>
      <w:r>
        <w:rPr>
          <w:rFonts w:hint="eastAsia"/>
          <w:color w:val="000000" w:themeColor="text1"/>
          <w14:textFill>
            <w14:solidFill>
              <w14:schemeClr w14:val="tx1"/>
            </w14:solidFill>
          </w14:textFill>
        </w:rPr>
        <w:t>，可能发生触电事故。</w:t>
      </w:r>
    </w:p>
    <w:p w14:paraId="6B82307C">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自然条件及其他危险性分析</w:t>
      </w:r>
    </w:p>
    <w:p w14:paraId="6FEADE37">
      <w:pPr>
        <w:rPr>
          <w:color w:val="000000" w:themeColor="text1"/>
          <w14:textFill>
            <w14:solidFill>
              <w14:schemeClr w14:val="tx1"/>
            </w14:solidFill>
          </w14:textFill>
        </w:rPr>
      </w:pPr>
      <w:r>
        <w:rPr>
          <w:rFonts w:hint="eastAsia"/>
          <w:color w:val="000000" w:themeColor="text1"/>
          <w14:textFill>
            <w14:solidFill>
              <w14:schemeClr w14:val="tx1"/>
            </w14:solidFill>
          </w14:textFill>
        </w:rPr>
        <w:t>（1）风速、风向</w:t>
      </w:r>
    </w:p>
    <w:p w14:paraId="05F542B3">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若加油站设计时没有考虑当地的风速、风向，将导致在罩棚的设计时对风荷载考虑不足，可能导致罩棚抗风荷载能力不足，在遇到瞬时强风时或暴雨天气可能导致罩棚垮塌，造成极其严重的事故后果。</w:t>
      </w:r>
    </w:p>
    <w:p w14:paraId="62E70674">
      <w:pPr>
        <w:rPr>
          <w:color w:val="000000" w:themeColor="text1"/>
          <w14:textFill>
            <w14:solidFill>
              <w14:schemeClr w14:val="tx1"/>
            </w14:solidFill>
          </w14:textFill>
        </w:rPr>
      </w:pPr>
      <w:r>
        <w:rPr>
          <w:rFonts w:hint="eastAsia"/>
          <w:color w:val="000000" w:themeColor="text1"/>
          <w14:textFill>
            <w14:solidFill>
              <w14:schemeClr w14:val="tx1"/>
            </w14:solidFill>
          </w14:textFill>
        </w:rPr>
        <w:t>（2）温度</w:t>
      </w:r>
    </w:p>
    <w:p w14:paraId="49F676BF">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区域气象条件恶劣，当气温很高时，油品蒸发速度增加，同时散发的油蒸气分子活性很强，遇到小火星或未熄灭的烟头等都将很容易将油蒸气引燃引爆，从而对加油站造成重大的人员伤亡和财产损失，特别是在高温季节卸油和加油时危险性增强。当气温很低时，将可能造成油罐及输油管线收缩变形，甚至造成油罐和管线破裂，造成油品泄漏的严重后果。</w:t>
      </w:r>
    </w:p>
    <w:p w14:paraId="67134779">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年平均气温18.4℃，极端最高气温及极端最低气温可能会对加油站的设备造成一定影响，但由于加油站采用埋地油罐，而且出现极端气温的概率较小，因此出现极端天气对加油站的影响在可接受的范围内。</w:t>
      </w:r>
    </w:p>
    <w:p w14:paraId="568A1CE4">
      <w:pPr>
        <w:rPr>
          <w:color w:val="000000" w:themeColor="text1"/>
          <w14:textFill>
            <w14:solidFill>
              <w14:schemeClr w14:val="tx1"/>
            </w14:solidFill>
          </w14:textFill>
        </w:rPr>
      </w:pPr>
      <w:r>
        <w:rPr>
          <w:rFonts w:hint="eastAsia"/>
          <w:color w:val="000000" w:themeColor="text1"/>
          <w14:textFill>
            <w14:solidFill>
              <w14:schemeClr w14:val="tx1"/>
            </w14:solidFill>
          </w14:textFill>
        </w:rPr>
        <w:t>（3）湿度</w:t>
      </w:r>
    </w:p>
    <w:p w14:paraId="14B658EA">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加油站在加油、卸油时，现场不可避免会有油气散发，若现场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。遇到点火源将发生火灾爆炸事故，造成严重的事故后果。本加油站处位置周边无高大建筑物或山体的遮挡，通风条件良好，因此因湿度、气压等原因造成油气聚集引发事故的可能性很小。</w:t>
      </w:r>
    </w:p>
    <w:p w14:paraId="5748AA4D">
      <w:pPr>
        <w:rPr>
          <w:color w:val="000000" w:themeColor="text1"/>
          <w14:textFill>
            <w14:solidFill>
              <w14:schemeClr w14:val="tx1"/>
            </w14:solidFill>
          </w14:textFill>
        </w:rPr>
      </w:pPr>
      <w:r>
        <w:rPr>
          <w:rFonts w:hint="eastAsia"/>
          <w:color w:val="000000" w:themeColor="text1"/>
          <w14:textFill>
            <w14:solidFill>
              <w14:schemeClr w14:val="tx1"/>
            </w14:solidFill>
          </w14:textFill>
        </w:rPr>
        <w:t>（4）降水</w:t>
      </w:r>
    </w:p>
    <w:p w14:paraId="3CCD936D">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罩棚若没有设置足够的排水设施或排水管堵塞，将可能有大量雨水聚集在罩棚顶部，导致罩棚垮塌，造成群死群伤的事故后果。</w:t>
      </w:r>
    </w:p>
    <w:p w14:paraId="6F3D08D5">
      <w:pPr>
        <w:rPr>
          <w:color w:val="000000" w:themeColor="text1"/>
          <w14:textFill>
            <w14:solidFill>
              <w14:schemeClr w14:val="tx1"/>
            </w14:solidFill>
          </w14:textFill>
        </w:rPr>
      </w:pPr>
      <w:bookmarkStart w:id="282" w:name="_Toc214095085"/>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14:paraId="48603521">
      <w:pPr>
        <w:rPr>
          <w:color w:val="000000" w:themeColor="text1"/>
          <w14:textFill>
            <w14:solidFill>
              <w14:schemeClr w14:val="tx1"/>
            </w14:solidFill>
          </w14:textFill>
        </w:rPr>
      </w:pPr>
      <w:r>
        <w:rPr>
          <w:rFonts w:hint="eastAsia"/>
          <w:color w:val="000000" w:themeColor="text1"/>
          <w14:textFill>
            <w14:solidFill>
              <w14:schemeClr w14:val="tx1"/>
            </w14:solidFill>
          </w14:textFill>
        </w:rPr>
        <w:t>（5）地质条件影响分析</w:t>
      </w:r>
    </w:p>
    <w:p w14:paraId="6F7F4418">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若加油站场地</w:t>
      </w:r>
      <w:r>
        <w:rPr>
          <w:color w:val="000000" w:themeColor="text1"/>
          <w14:textFill>
            <w14:solidFill>
              <w14:schemeClr w14:val="tx1"/>
            </w14:solidFill>
          </w14:textFill>
        </w:rPr>
        <w:t>地形地貌起伏多变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地层岩性复杂多样</w:t>
      </w:r>
      <w:r>
        <w:rPr>
          <w:rFonts w:hint="eastAsia"/>
          <w:color w:val="000000" w:themeColor="text1"/>
          <w14:textFill>
            <w14:solidFill>
              <w14:schemeClr w14:val="tx1"/>
            </w14:solidFill>
          </w14:textFill>
        </w:rPr>
        <w:t>，将可能存在滑坡、崩塌、泥石流、</w:t>
      </w:r>
      <w:r>
        <w:rPr>
          <w:color w:val="000000" w:themeColor="text1"/>
          <w14:textFill>
            <w14:solidFill>
              <w14:schemeClr w14:val="tx1"/>
            </w14:solidFill>
          </w14:textFill>
        </w:rPr>
        <w:t>地面沉降、地面塌陷</w:t>
      </w:r>
      <w:r>
        <w:rPr>
          <w:rFonts w:hint="eastAsia"/>
          <w:color w:val="000000" w:themeColor="text1"/>
          <w14:textFill>
            <w14:solidFill>
              <w14:schemeClr w14:val="tx1"/>
            </w14:solidFill>
          </w14:textFill>
        </w:rPr>
        <w:t>等地质灾害，严重影响加油站建构筑物的安全、稳定，特别是发生地震时，将可能彻底摧毁加油站。</w:t>
      </w:r>
    </w:p>
    <w:p w14:paraId="041F232C">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从现场踏勘情况看，目前场地稳定，未见滑坡、断裂、泥石流等不良地质现象。</w:t>
      </w:r>
    </w:p>
    <w:p w14:paraId="2F772CD2">
      <w:pPr>
        <w:rPr>
          <w:color w:val="000000" w:themeColor="text1"/>
          <w14:textFill>
            <w14:solidFill>
              <w14:schemeClr w14:val="tx1"/>
            </w14:solidFill>
          </w14:textFill>
        </w:rPr>
      </w:pPr>
      <w:r>
        <w:rPr>
          <w:rFonts w:hint="eastAsia"/>
          <w:color w:val="000000" w:themeColor="text1"/>
          <w14:textFill>
            <w14:solidFill>
              <w14:schemeClr w14:val="tx1"/>
            </w14:solidFill>
          </w14:textFill>
        </w:rPr>
        <w:t>（6）地下水影响分析</w:t>
      </w:r>
      <w:bookmarkEnd w:id="282"/>
    </w:p>
    <w:p w14:paraId="4309BA08">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若加油站所处位置平坦，</w:t>
      </w:r>
      <w:r>
        <w:rPr>
          <w:rFonts w:hint="eastAsia"/>
          <w:color w:val="000000" w:themeColor="text1"/>
          <w:lang w:val="en-US" w:eastAsia="zh-CN"/>
          <w14:textFill>
            <w14:solidFill>
              <w14:schemeClr w14:val="tx1"/>
            </w14:solidFill>
          </w14:textFill>
        </w:rPr>
        <w:t>未见</w:t>
      </w:r>
      <w:r>
        <w:rPr>
          <w:rFonts w:hint="eastAsia"/>
          <w:color w:val="000000" w:themeColor="text1"/>
          <w14:textFill>
            <w14:solidFill>
              <w14:schemeClr w14:val="tx1"/>
            </w14:solidFill>
          </w14:textFill>
        </w:rPr>
        <w:t>加油站场地</w:t>
      </w:r>
      <w:r>
        <w:rPr>
          <w:rFonts w:hint="eastAsia"/>
          <w:color w:val="000000" w:themeColor="text1"/>
          <w:lang w:val="en-US" w:eastAsia="zh-CN"/>
          <w14:textFill>
            <w14:solidFill>
              <w14:schemeClr w14:val="tx1"/>
            </w14:solidFill>
          </w14:textFill>
        </w:rPr>
        <w:t>较高</w:t>
      </w:r>
      <w:r>
        <w:rPr>
          <w:rFonts w:hint="eastAsia"/>
          <w:color w:val="000000" w:themeColor="text1"/>
          <w14:textFill>
            <w14:solidFill>
              <w14:schemeClr w14:val="tx1"/>
            </w14:solidFill>
          </w14:textFill>
        </w:rPr>
        <w:t>地下水</w:t>
      </w:r>
      <w:r>
        <w:rPr>
          <w:rFonts w:hint="eastAsia"/>
          <w:color w:val="000000" w:themeColor="text1"/>
          <w:lang w:val="en-US" w:eastAsia="zh-CN"/>
          <w14:textFill>
            <w14:solidFill>
              <w14:schemeClr w14:val="tx1"/>
            </w14:solidFill>
          </w14:textFill>
        </w:rPr>
        <w:t>位</w:t>
      </w:r>
      <w:r>
        <w:rPr>
          <w:rFonts w:hint="eastAsia"/>
          <w:color w:val="000000" w:themeColor="text1"/>
          <w14:textFill>
            <w14:solidFill>
              <w14:schemeClr w14:val="tx1"/>
            </w14:solidFill>
          </w14:textFill>
        </w:rPr>
        <w:t>，加油站在运行过程中，可能会出现地下水水位较高而引起油罐上浮，致使管路或设备损坏，油料泄漏，从而导致更大的事故发生。</w:t>
      </w:r>
    </w:p>
    <w:p w14:paraId="2C94C71E">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从现场了解情况来看，该加油站场地地下水位较高，并考虑单点暴雨时罐区雨水渗入油罐区造成地下水位升高的可能，已对油罐采取了抗浮措施。油罐区已设置观察井，能及时</w:t>
      </w:r>
      <w:r>
        <w:rPr>
          <w:rFonts w:hint="eastAsia"/>
          <w:color w:val="000000" w:themeColor="text1"/>
          <w:lang w:val="en-US" w:eastAsia="zh-CN"/>
          <w14:textFill>
            <w14:solidFill>
              <w14:schemeClr w14:val="tx1"/>
            </w14:solidFill>
          </w14:textFill>
        </w:rPr>
        <w:t>观察、</w:t>
      </w:r>
      <w:r>
        <w:rPr>
          <w:rFonts w:hint="eastAsia"/>
          <w:color w:val="000000" w:themeColor="text1"/>
          <w14:textFill>
            <w14:solidFill>
              <w14:schemeClr w14:val="tx1"/>
            </w14:solidFill>
          </w14:textFill>
        </w:rPr>
        <w:t>抽取油罐区积水。</w:t>
      </w:r>
    </w:p>
    <w:p w14:paraId="2A98DCB9">
      <w:pPr>
        <w:pStyle w:val="5"/>
        <w:ind w:firstLine="560"/>
        <w:rPr>
          <w:color w:val="000000" w:themeColor="text1"/>
          <w14:textFill>
            <w14:solidFill>
              <w14:schemeClr w14:val="tx1"/>
            </w14:solidFill>
          </w14:textFill>
        </w:rPr>
      </w:pPr>
      <w:bookmarkStart w:id="283" w:name="_Toc456527711"/>
      <w:bookmarkStart w:id="284" w:name="_Toc18983"/>
      <w:bookmarkStart w:id="285" w:name="_Toc80123615"/>
      <w:r>
        <w:rPr>
          <w:rFonts w:hint="eastAsia"/>
          <w:color w:val="000000" w:themeColor="text1"/>
          <w14:textFill>
            <w14:solidFill>
              <w14:schemeClr w14:val="tx1"/>
            </w14:solidFill>
          </w14:textFill>
        </w:rPr>
        <w:t>加油站与周边环境相互影响分析</w:t>
      </w:r>
      <w:bookmarkEnd w:id="283"/>
      <w:bookmarkEnd w:id="284"/>
      <w:bookmarkEnd w:id="285"/>
    </w:p>
    <w:p w14:paraId="318D75A5">
      <w:pPr>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云南省文山壮族苗族自治州文山市古木镇南街文马公路旁</w:t>
      </w:r>
      <w:r>
        <w:rPr>
          <w:rFonts w:hint="eastAsia"/>
          <w:color w:val="000000" w:themeColor="text1"/>
          <w14:textFill>
            <w14:solidFill>
              <w14:schemeClr w14:val="tx1"/>
            </w14:solidFill>
          </w14:textFill>
        </w:rPr>
        <w:t>，交通便利。</w:t>
      </w:r>
    </w:p>
    <w:p w14:paraId="3394915B">
      <w:pP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加油站位于古木镇街上，</w:t>
      </w:r>
      <w:r>
        <w:rPr>
          <w:rFonts w:hint="eastAsia"/>
          <w:color w:val="000000" w:themeColor="text1"/>
          <w14:textFill>
            <w14:solidFill>
              <w14:schemeClr w14:val="tx1"/>
            </w14:solidFill>
          </w14:textFill>
        </w:rPr>
        <w:t>加油站周边环境</w:t>
      </w:r>
      <w:r>
        <w:rPr>
          <w:rFonts w:hint="eastAsia"/>
          <w:color w:val="000000" w:themeColor="text1"/>
          <w:lang w:val="en-US" w:eastAsia="zh-CN"/>
          <w14:textFill>
            <w14:solidFill>
              <w14:schemeClr w14:val="tx1"/>
            </w14:solidFill>
          </w14:textFill>
        </w:rPr>
        <w:t>复杂</w:t>
      </w:r>
      <w:r>
        <w:rPr>
          <w:rFonts w:hint="eastAsia"/>
          <w:color w:val="000000" w:themeColor="text1"/>
          <w14:textFill>
            <w14:solidFill>
              <w14:schemeClr w14:val="tx1"/>
            </w14:solidFill>
          </w14:textFill>
        </w:rPr>
        <w:t>周边建筑</w:t>
      </w:r>
      <w:r>
        <w:rPr>
          <w:rFonts w:hint="eastAsia"/>
          <w:color w:val="000000" w:themeColor="text1"/>
          <w:lang w:val="en-US" w:eastAsia="zh-CN"/>
          <w14:textFill>
            <w14:solidFill>
              <w14:schemeClr w14:val="tx1"/>
            </w14:solidFill>
          </w14:textFill>
        </w:rPr>
        <w:t>与加油站安全</w:t>
      </w:r>
      <w:r>
        <w:rPr>
          <w:rFonts w:hint="eastAsia"/>
          <w:color w:val="000000" w:themeColor="text1"/>
          <w14:textFill>
            <w14:solidFill>
              <w14:schemeClr w14:val="tx1"/>
            </w14:solidFill>
          </w14:textFill>
        </w:rPr>
        <w:t>距离</w:t>
      </w:r>
      <w:r>
        <w:rPr>
          <w:rFonts w:hint="eastAsia"/>
          <w:color w:val="000000" w:themeColor="text1"/>
          <w:lang w:val="en-US" w:eastAsia="zh-CN"/>
          <w14:textFill>
            <w14:solidFill>
              <w14:schemeClr w14:val="tx1"/>
            </w14:solidFill>
          </w14:textFill>
        </w:rPr>
        <w:t>满足要求</w:t>
      </w:r>
      <w:r>
        <w:rPr>
          <w:rFonts w:hint="eastAsia"/>
          <w:color w:val="000000" w:themeColor="text1"/>
          <w14:textFill>
            <w14:solidFill>
              <w14:schemeClr w14:val="tx1"/>
            </w14:solidFill>
          </w14:textFill>
        </w:rPr>
        <w:t>，加油站在日常经营过程中，对周边环境影响较小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加油站周边人员较多，复杂，周边人员活动会对加油站有一定影响，应加强安全管理，日常巡查的等。</w:t>
      </w:r>
    </w:p>
    <w:p w14:paraId="7E94AF33">
      <w:pPr>
        <w:pStyle w:val="5"/>
        <w:ind w:firstLine="560"/>
        <w:rPr>
          <w:color w:val="000000" w:themeColor="text1"/>
          <w14:textFill>
            <w14:solidFill>
              <w14:schemeClr w14:val="tx1"/>
            </w14:solidFill>
          </w14:textFill>
        </w:rPr>
      </w:pPr>
      <w:bookmarkStart w:id="286" w:name="_Toc24098"/>
      <w:bookmarkStart w:id="287" w:name="_Toc80123616"/>
      <w:r>
        <w:rPr>
          <w:rFonts w:hint="eastAsia"/>
          <w:color w:val="000000" w:themeColor="text1"/>
          <w14:textFill>
            <w14:solidFill>
              <w14:schemeClr w14:val="tx1"/>
            </w14:solidFill>
          </w14:textFill>
        </w:rPr>
        <w:t>加油站平面布置危险、有害因素分析</w:t>
      </w:r>
      <w:bookmarkEnd w:id="286"/>
      <w:bookmarkEnd w:id="287"/>
    </w:p>
    <w:p w14:paraId="23DC16A0">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加油站的平面布置主要包括功能分区、防火间距、道路、竖向布置等方面的内容，平面布置不合理主要可能导致火灾、爆炸、车辆伤害等危险。</w:t>
      </w:r>
    </w:p>
    <w:p w14:paraId="3C0C3EEB">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加油站运行期间，可能引发事故的原因主要有：</w:t>
      </w:r>
    </w:p>
    <w:p w14:paraId="7517608C">
      <w:pPr>
        <w:rPr>
          <w:color w:val="000000" w:themeColor="text1"/>
          <w14:textFill>
            <w14:solidFill>
              <w14:schemeClr w14:val="tx1"/>
            </w14:solidFill>
          </w14:textFill>
        </w:rPr>
      </w:pPr>
      <w:r>
        <w:rPr>
          <w:rFonts w:hint="eastAsia"/>
          <w:color w:val="000000" w:themeColor="text1"/>
          <w14:textFill>
            <w14:solidFill>
              <w14:schemeClr w14:val="tx1"/>
            </w14:solidFill>
          </w14:textFill>
        </w:rPr>
        <w:t>1.站内消防器材摆放不合理，站内发生火灾事故，由于消防器材取用不便，延误初期火灾的扑救，造成更大火灾、爆炸等危险；</w:t>
      </w:r>
    </w:p>
    <w:p w14:paraId="1C33193F">
      <w:pPr>
        <w:rPr>
          <w:color w:val="000000" w:themeColor="text1"/>
          <w14:textFill>
            <w14:solidFill>
              <w14:schemeClr w14:val="tx1"/>
            </w14:solidFill>
          </w14:textFill>
        </w:rPr>
      </w:pPr>
      <w:r>
        <w:rPr>
          <w:rFonts w:hint="eastAsia"/>
          <w:color w:val="000000" w:themeColor="text1"/>
          <w14:textFill>
            <w14:solidFill>
              <w14:schemeClr w14:val="tx1"/>
            </w14:solidFill>
          </w14:textFill>
        </w:rPr>
        <w:t>2.消防通道、加油车道堆放物品等导致消防通道、加油车道受阻；</w:t>
      </w:r>
    </w:p>
    <w:p w14:paraId="2D6A5C49">
      <w:pPr>
        <w:rPr>
          <w:color w:val="000000" w:themeColor="text1"/>
          <w14:textFill>
            <w14:solidFill>
              <w14:schemeClr w14:val="tx1"/>
            </w14:solidFill>
          </w14:textFill>
        </w:rPr>
      </w:pPr>
      <w:r>
        <w:rPr>
          <w:rFonts w:hint="eastAsia"/>
          <w:color w:val="000000" w:themeColor="text1"/>
          <w14:textFill>
            <w14:solidFill>
              <w14:schemeClr w14:val="tx1"/>
            </w14:solidFill>
          </w14:textFill>
        </w:rPr>
        <w:t>3.转弯半径不足，进站车辆特别是载重车、挂车等进入站区导致碰撞，可能导致人员伤亡、车辆损坏、罩棚坍塌等事故；</w:t>
      </w:r>
    </w:p>
    <w:p w14:paraId="1AE46D12">
      <w:pPr>
        <w:rPr>
          <w:color w:val="000000" w:themeColor="text1"/>
          <w14:textFill>
            <w14:solidFill>
              <w14:schemeClr w14:val="tx1"/>
            </w14:solidFill>
          </w14:textFill>
        </w:rPr>
      </w:pPr>
      <w:r>
        <w:rPr>
          <w:rFonts w:hint="eastAsia"/>
          <w:color w:val="000000" w:themeColor="text1"/>
          <w14:textFill>
            <w14:solidFill>
              <w14:schemeClr w14:val="tx1"/>
            </w14:solidFill>
          </w14:textFill>
        </w:rPr>
        <w:t>4.油罐槽车未按规定路线行驶或者停车，有发生溜车的危险性。</w:t>
      </w:r>
    </w:p>
    <w:p w14:paraId="119559F9">
      <w:pPr>
        <w:pStyle w:val="3"/>
        <w:rPr>
          <w:color w:val="000000" w:themeColor="text1"/>
          <w14:textFill>
            <w14:solidFill>
              <w14:schemeClr w14:val="tx1"/>
            </w14:solidFill>
          </w14:textFill>
        </w:rPr>
      </w:pPr>
      <w:bookmarkStart w:id="288" w:name="_Toc6496"/>
      <w:r>
        <w:rPr>
          <w:rFonts w:hint="eastAsia"/>
          <w:color w:val="000000" w:themeColor="text1"/>
          <w14:textFill>
            <w14:solidFill>
              <w14:schemeClr w14:val="tx1"/>
            </w14:solidFill>
          </w14:textFill>
        </w:rPr>
        <w:t>危险、有害因素的辨识结果</w:t>
      </w:r>
      <w:bookmarkEnd w:id="255"/>
      <w:bookmarkEnd w:id="256"/>
      <w:bookmarkEnd w:id="257"/>
      <w:bookmarkEnd w:id="288"/>
    </w:p>
    <w:p w14:paraId="73629F87">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根据加油站特点及经营危险化学品的特性，对其主要危险、危害因素辨识结果见表3-3。</w:t>
      </w:r>
    </w:p>
    <w:p w14:paraId="6CE30DC4">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表3-3  危险、有害因素辨识结果一览表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171"/>
        <w:gridCol w:w="3837"/>
        <w:gridCol w:w="3162"/>
      </w:tblGrid>
      <w:tr w14:paraId="55F44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32522DEE">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危险有害因素</w:t>
            </w:r>
          </w:p>
        </w:tc>
        <w:tc>
          <w:tcPr>
            <w:tcW w:w="1171" w:type="dxa"/>
            <w:vAlign w:val="center"/>
          </w:tcPr>
          <w:p w14:paraId="24D5771C">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主要存在部位</w:t>
            </w:r>
          </w:p>
        </w:tc>
        <w:tc>
          <w:tcPr>
            <w:tcW w:w="3837" w:type="dxa"/>
            <w:vAlign w:val="center"/>
          </w:tcPr>
          <w:p w14:paraId="27BC1126">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产生的原因</w:t>
            </w:r>
          </w:p>
        </w:tc>
        <w:tc>
          <w:tcPr>
            <w:tcW w:w="3162" w:type="dxa"/>
            <w:vAlign w:val="center"/>
          </w:tcPr>
          <w:p w14:paraId="613AE3C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14:paraId="432B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14:paraId="35807B9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171" w:type="dxa"/>
            <w:vAlign w:val="center"/>
          </w:tcPr>
          <w:p w14:paraId="202B978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储油罐区、加油区、</w:t>
            </w:r>
            <w:r>
              <w:rPr>
                <w:rFonts w:hint="eastAsia"/>
                <w:bCs/>
                <w:color w:val="000000" w:themeColor="text1"/>
                <w14:textFill>
                  <w14:solidFill>
                    <w14:schemeClr w14:val="tx1"/>
                  </w14:solidFill>
                </w14:textFill>
              </w:rPr>
              <w:t>卸油区、发电机等</w:t>
            </w:r>
          </w:p>
        </w:tc>
        <w:tc>
          <w:tcPr>
            <w:tcW w:w="3837" w:type="dxa"/>
            <w:vAlign w:val="center"/>
          </w:tcPr>
          <w:p w14:paraId="397D812A">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（1）油气泄漏扩散且现场存在点火源。</w:t>
            </w:r>
          </w:p>
          <w:p w14:paraId="2059DCD7">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（2）现场管理混乱，违章作业、没有划定禁火区、乱扔烟头等。</w:t>
            </w:r>
          </w:p>
          <w:p w14:paraId="41438354">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（3）防雷、防静电接地失效，发生雷击或静电打火。</w:t>
            </w:r>
          </w:p>
        </w:tc>
        <w:tc>
          <w:tcPr>
            <w:tcW w:w="3162" w:type="dxa"/>
            <w:vAlign w:val="center"/>
          </w:tcPr>
          <w:p w14:paraId="40974DF0">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（1）杜绝火种。</w:t>
            </w:r>
          </w:p>
          <w:p w14:paraId="6BD68A1B">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（2）加强现场管理，加油站区划为禁火区。</w:t>
            </w:r>
          </w:p>
          <w:p w14:paraId="5A4109BC">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（3）设置防雷、防静电设施，并进行定期检测，确保防雷、防静电设施有效。</w:t>
            </w:r>
          </w:p>
        </w:tc>
      </w:tr>
      <w:tr w14:paraId="77ED4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14:paraId="08E8AEF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171" w:type="dxa"/>
            <w:vAlign w:val="center"/>
          </w:tcPr>
          <w:p w14:paraId="4285FF5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发配电装置，用电设备，电气线路</w:t>
            </w:r>
          </w:p>
        </w:tc>
        <w:tc>
          <w:tcPr>
            <w:tcW w:w="3837" w:type="dxa"/>
            <w:vAlign w:val="center"/>
          </w:tcPr>
          <w:p w14:paraId="2E33CFED">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（1）配电装置存在缺陷，使用不合格电气元件。</w:t>
            </w:r>
          </w:p>
          <w:p w14:paraId="740DF6B4">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（2）操作人员不具备相关资格和知识，电气线路接线存在问题。</w:t>
            </w:r>
          </w:p>
          <w:p w14:paraId="089D857C">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（3）电气设备、线路老化、绝缘损坏漏电。</w:t>
            </w:r>
          </w:p>
          <w:p w14:paraId="567AFB2C">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（4）未安装漏电保护设施或损坏。</w:t>
            </w:r>
          </w:p>
          <w:p w14:paraId="31991A2D">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（5）安全管理存在缺陷，检修作业安全措施未落实。</w:t>
            </w:r>
          </w:p>
        </w:tc>
        <w:tc>
          <w:tcPr>
            <w:tcW w:w="3162" w:type="dxa"/>
            <w:vAlign w:val="center"/>
          </w:tcPr>
          <w:p w14:paraId="32C294A5">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（1）采用合格的电气元件，并由专业人员进行安装。</w:t>
            </w:r>
          </w:p>
          <w:p w14:paraId="55ECE6EB">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（2）相关操作人员持证上岗。</w:t>
            </w:r>
          </w:p>
          <w:p w14:paraId="16E9964E">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（3）加强电气线路的安全检查。</w:t>
            </w:r>
          </w:p>
          <w:p w14:paraId="4D175E00">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（4）按要求安装漏电保护器。</w:t>
            </w:r>
          </w:p>
          <w:p w14:paraId="5D6DB25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（5）加强安全管理，严格落实电气设备检修制度。</w:t>
            </w:r>
          </w:p>
        </w:tc>
      </w:tr>
      <w:tr w14:paraId="7A222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231E4D5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171" w:type="dxa"/>
            <w:vAlign w:val="center"/>
          </w:tcPr>
          <w:p w14:paraId="7ACBE7C9">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站内车道、加油区、卸油区</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洗车区</w:t>
            </w:r>
            <w:r>
              <w:rPr>
                <w:rFonts w:hint="eastAsia"/>
                <w:bCs/>
                <w:color w:val="000000" w:themeColor="text1"/>
                <w14:textFill>
                  <w14:solidFill>
                    <w14:schemeClr w14:val="tx1"/>
                  </w14:solidFill>
                </w14:textFill>
              </w:rPr>
              <w:t>等</w:t>
            </w:r>
          </w:p>
        </w:tc>
        <w:tc>
          <w:tcPr>
            <w:tcW w:w="3837" w:type="dxa"/>
            <w:vAlign w:val="center"/>
          </w:tcPr>
          <w:p w14:paraId="09508729">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（1）现场管理混乱，车辆不按规定行驶。</w:t>
            </w:r>
          </w:p>
          <w:p w14:paraId="0F655713">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（2）场地设计不合理。</w:t>
            </w:r>
          </w:p>
          <w:p w14:paraId="09025A79">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（3）警示标识不明确。</w:t>
            </w:r>
          </w:p>
        </w:tc>
        <w:tc>
          <w:tcPr>
            <w:tcW w:w="3162" w:type="dxa"/>
            <w:vAlign w:val="center"/>
          </w:tcPr>
          <w:p w14:paraId="7B613283">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（1）加强现场安全管理。</w:t>
            </w:r>
          </w:p>
          <w:p w14:paraId="5AC2AC0E">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（2）加油站场地应按规范要求进行设计。</w:t>
            </w:r>
          </w:p>
          <w:p w14:paraId="3452D427">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（3）设置相应的安全警示标识。</w:t>
            </w:r>
          </w:p>
        </w:tc>
      </w:tr>
      <w:tr w14:paraId="4F74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4155E95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171" w:type="dxa"/>
            <w:vAlign w:val="center"/>
          </w:tcPr>
          <w:p w14:paraId="2D6DC01C">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油罐车上取样检查油品作业、油站罩棚等</w:t>
            </w:r>
          </w:p>
        </w:tc>
        <w:tc>
          <w:tcPr>
            <w:tcW w:w="3837" w:type="dxa"/>
            <w:vAlign w:val="center"/>
          </w:tcPr>
          <w:p w14:paraId="13B2C6B9">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（1）防护设施不齐全。</w:t>
            </w:r>
          </w:p>
          <w:p w14:paraId="0386233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（2）作业人员未注意。</w:t>
            </w:r>
          </w:p>
        </w:tc>
        <w:tc>
          <w:tcPr>
            <w:tcW w:w="3162" w:type="dxa"/>
            <w:vAlign w:val="center"/>
          </w:tcPr>
          <w:p w14:paraId="7C1DAEA3">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（1）加强检修安全管理，进行检修时安全防护设施不齐全、防护措施未落实不得进行检修作业。</w:t>
            </w:r>
          </w:p>
          <w:p w14:paraId="3CF121F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（2）加强对从业人员的安全教育，提高安全意识。</w:t>
            </w:r>
          </w:p>
        </w:tc>
      </w:tr>
      <w:tr w14:paraId="39560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16D2A15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中毒和窒息</w:t>
            </w:r>
          </w:p>
        </w:tc>
        <w:tc>
          <w:tcPr>
            <w:tcW w:w="1171" w:type="dxa"/>
            <w:vAlign w:val="center"/>
          </w:tcPr>
          <w:p w14:paraId="21080D2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加油区、储油罐区、发电机房等</w:t>
            </w:r>
          </w:p>
        </w:tc>
        <w:tc>
          <w:tcPr>
            <w:tcW w:w="3837" w:type="dxa"/>
            <w:vAlign w:val="center"/>
          </w:tcPr>
          <w:p w14:paraId="4260FB3E">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（1）人员吸入油蒸气或接触油品。</w:t>
            </w:r>
          </w:p>
          <w:p w14:paraId="1D2026F5">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（2）罐内作业没有进行通风或通风条件不良。</w:t>
            </w:r>
          </w:p>
        </w:tc>
        <w:tc>
          <w:tcPr>
            <w:tcW w:w="3162" w:type="dxa"/>
            <w:vAlign w:val="center"/>
          </w:tcPr>
          <w:p w14:paraId="043D6396">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（1）从业人员配备相应的劳动防护用品。</w:t>
            </w:r>
          </w:p>
          <w:p w14:paraId="4DDE18FA">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（2）进行罐内检修作业时必须进行置换并确保含氧量符合要求。</w:t>
            </w:r>
          </w:p>
        </w:tc>
      </w:tr>
      <w:tr w14:paraId="51A6A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2EC6A7E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171" w:type="dxa"/>
            <w:vAlign w:val="center"/>
          </w:tcPr>
          <w:p w14:paraId="0FE250A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罩棚、围墙</w:t>
            </w:r>
          </w:p>
        </w:tc>
        <w:tc>
          <w:tcPr>
            <w:tcW w:w="3837" w:type="dxa"/>
            <w:vAlign w:val="center"/>
          </w:tcPr>
          <w:p w14:paraId="57A4A356">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（1）罩棚本身施工质量不良。</w:t>
            </w:r>
          </w:p>
          <w:p w14:paraId="7C69A121">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（2）地质原因塌陷。</w:t>
            </w:r>
          </w:p>
        </w:tc>
        <w:tc>
          <w:tcPr>
            <w:tcW w:w="3162" w:type="dxa"/>
            <w:vAlign w:val="center"/>
          </w:tcPr>
          <w:p w14:paraId="203FD356">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（1）加强罩棚的维护、检修。</w:t>
            </w:r>
          </w:p>
          <w:p w14:paraId="262B0BD5">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（2）加强围墙的检查、维护。</w:t>
            </w:r>
          </w:p>
        </w:tc>
      </w:tr>
      <w:tr w14:paraId="5BBA0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14:paraId="3D945BB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171" w:type="dxa"/>
            <w:vAlign w:val="center"/>
          </w:tcPr>
          <w:p w14:paraId="45A20B09">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加油机、发电机、机械设备检修等</w:t>
            </w:r>
          </w:p>
        </w:tc>
        <w:tc>
          <w:tcPr>
            <w:tcW w:w="3837" w:type="dxa"/>
            <w:vAlign w:val="center"/>
          </w:tcPr>
          <w:p w14:paraId="0765381D">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（1）违章作业或操作不当；</w:t>
            </w:r>
          </w:p>
          <w:p w14:paraId="1B96A8CA">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（2）在检修时，使用切割等机械作业时，易对人体造成机械伤害；</w:t>
            </w:r>
          </w:p>
          <w:p w14:paraId="7AC30DA0">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（3）在检修或日常检查时，打开加油机机盖，其内部电动机可能会造成机械伤害；</w:t>
            </w:r>
          </w:p>
          <w:p w14:paraId="0FD3D5F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（4）若发电机工作时，转动部件未设置相应防护罩，可能会造成机械伤害。</w:t>
            </w:r>
          </w:p>
        </w:tc>
        <w:tc>
          <w:tcPr>
            <w:tcW w:w="3162" w:type="dxa"/>
            <w:vAlign w:val="center"/>
          </w:tcPr>
          <w:p w14:paraId="3E68C21C">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（1）加强安全教育；</w:t>
            </w:r>
          </w:p>
          <w:p w14:paraId="1438AEBE">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（2）正确佩戴劳动防护用品；</w:t>
            </w:r>
          </w:p>
          <w:p w14:paraId="5D7F4CA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（3）为转动部件设置相应防护罩。</w:t>
            </w:r>
          </w:p>
        </w:tc>
      </w:tr>
    </w:tbl>
    <w:p w14:paraId="0B5DA0EB">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加油站涉及的危险化学品主要为汽油和柴油，涉及的危险有害因素为火灾爆炸、车辆伤害、触电、中毒和窒息、高处坠落、坍塌等。其中最主要的危险有害因素是火灾、爆炸。</w:t>
      </w:r>
    </w:p>
    <w:p w14:paraId="372B5740">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事故易发及危险点是：加油区（加油场地及加油机）、储油罐区（包括卸油区、油罐及管道）、站房，存在的主要危险有害因素见表3-4。</w:t>
      </w:r>
    </w:p>
    <w:p w14:paraId="023A3F79">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表3-4  加油站事故易发及危险点主要危险有害因素表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9"/>
        <w:gridCol w:w="7002"/>
      </w:tblGrid>
      <w:tr w14:paraId="5871A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2069" w:type="dxa"/>
            <w:vAlign w:val="center"/>
          </w:tcPr>
          <w:p w14:paraId="4360EEE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事故易发部位</w:t>
            </w:r>
          </w:p>
        </w:tc>
        <w:tc>
          <w:tcPr>
            <w:tcW w:w="7002" w:type="dxa"/>
            <w:vAlign w:val="center"/>
          </w:tcPr>
          <w:p w14:paraId="71FCBCB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危险点辨识内容</w:t>
            </w:r>
          </w:p>
        </w:tc>
      </w:tr>
      <w:tr w14:paraId="5571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14:paraId="74D7433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加油区（加油场地及加油机）</w:t>
            </w:r>
          </w:p>
        </w:tc>
        <w:tc>
          <w:tcPr>
            <w:tcW w:w="7002" w:type="dxa"/>
            <w:vAlign w:val="center"/>
          </w:tcPr>
          <w:p w14:paraId="6A1F3121">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（1）加油岛是为各种机动车辆加油的场所。由于汽车尾气带火星、车厢漏油、加油过满溢出、加油机漏油、加油机防爆电气故障等原因，容易引发火灾爆炸事故。</w:t>
            </w:r>
          </w:p>
          <w:p w14:paraId="6C8FF3BD">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（2）违章用油枪往塑料桶加油，汽油在塑料桶内流动摩擦产生静电积聚，当静电压和桶内的油蒸气达到一定值时，就会引发爆炸。</w:t>
            </w:r>
          </w:p>
          <w:p w14:paraId="3044724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（3）加油场地也可能因外来加油车违章驾驶、路面积油污、路面积雪积冰，加油岛照明不足等原因造成车辆伤害事故。</w:t>
            </w:r>
          </w:p>
        </w:tc>
      </w:tr>
      <w:tr w14:paraId="1BED3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14:paraId="468B022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储油罐区（包括卸油区、油罐及管道）</w:t>
            </w:r>
          </w:p>
        </w:tc>
        <w:tc>
          <w:tcPr>
            <w:tcW w:w="7002" w:type="dxa"/>
            <w:vAlign w:val="center"/>
          </w:tcPr>
          <w:p w14:paraId="2981EFED">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（1）在加油站的各类事故中，油罐和管道发生的事故占很大比例。如地面水进入地下油罐，使油品溢出；卸油时油气外溢遇明火引爆；油罐、卸油接管等处接地不良，通气管遭遇雷击，或静电闪火引燃引爆。</w:t>
            </w:r>
          </w:p>
          <w:p w14:paraId="5B7135CA">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车不熄火，油罐车静电没有消散，油罐车卸油连通软管导静电性能差；雷雨天往油罐卸油或往汽车车厢加油速度过快，加油操作失误；密闭卸油接口处漏油；对明火管理不严等，都会导致火灾、爆炸或设备损坏或人身伤亡事故。</w:t>
            </w:r>
          </w:p>
        </w:tc>
      </w:tr>
      <w:tr w14:paraId="43772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2069" w:type="dxa"/>
            <w:vAlign w:val="center"/>
          </w:tcPr>
          <w:p w14:paraId="5E6136A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站房（包括营业室、值班室等）、辅助用房</w:t>
            </w:r>
          </w:p>
        </w:tc>
        <w:tc>
          <w:tcPr>
            <w:tcW w:w="7002" w:type="dxa"/>
            <w:vAlign w:val="center"/>
          </w:tcPr>
          <w:p w14:paraId="716D9DCF">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如有油气进入站房，遇到明火，值班人员烧水、热饭和吸烟、乱扔烟头余烬等，会导致火灾或爆炸。</w:t>
            </w:r>
          </w:p>
        </w:tc>
      </w:tr>
    </w:tbl>
    <w:p w14:paraId="4F1B7ACA">
      <w:pPr>
        <w:pStyle w:val="3"/>
        <w:rPr>
          <w:color w:val="000000" w:themeColor="text1"/>
          <w14:textFill>
            <w14:solidFill>
              <w14:schemeClr w14:val="tx1"/>
            </w14:solidFill>
          </w14:textFill>
        </w:rPr>
      </w:pPr>
      <w:bookmarkStart w:id="289" w:name="_Toc213232900"/>
      <w:bookmarkStart w:id="290" w:name="_Toc10422"/>
      <w:bookmarkStart w:id="291" w:name="_Toc387135676"/>
      <w:bookmarkStart w:id="292" w:name="_Toc195156249"/>
      <w:r>
        <w:rPr>
          <w:rFonts w:hint="eastAsia"/>
          <w:color w:val="000000" w:themeColor="text1"/>
          <w14:textFill>
            <w14:solidFill>
              <w14:schemeClr w14:val="tx1"/>
            </w14:solidFill>
          </w14:textFill>
        </w:rPr>
        <w:t>重大危险源辨识</w:t>
      </w:r>
      <w:bookmarkEnd w:id="289"/>
      <w:bookmarkEnd w:id="290"/>
      <w:bookmarkEnd w:id="291"/>
      <w:bookmarkEnd w:id="292"/>
    </w:p>
    <w:p w14:paraId="40A31325">
      <w:pPr>
        <w:pStyle w:val="4"/>
        <w:ind w:firstLine="562"/>
        <w:rPr>
          <w:color w:val="000000" w:themeColor="text1"/>
          <w14:textFill>
            <w14:solidFill>
              <w14:schemeClr w14:val="tx1"/>
            </w14:solidFill>
          </w14:textFill>
        </w:rPr>
      </w:pPr>
      <w:bookmarkStart w:id="293" w:name="_Toc456527720"/>
      <w:bookmarkStart w:id="294" w:name="_Toc360569563"/>
      <w:bookmarkStart w:id="295" w:name="_Toc363315958"/>
      <w:bookmarkStart w:id="296" w:name="_Toc8368"/>
      <w:r>
        <w:rPr>
          <w:rFonts w:hint="eastAsia"/>
          <w:color w:val="000000" w:themeColor="text1"/>
          <w14:textFill>
            <w14:solidFill>
              <w14:schemeClr w14:val="tx1"/>
            </w14:solidFill>
          </w14:textFill>
        </w:rPr>
        <w:t>方法介绍</w:t>
      </w:r>
      <w:bookmarkEnd w:id="293"/>
      <w:bookmarkEnd w:id="294"/>
      <w:bookmarkEnd w:id="295"/>
      <w:bookmarkEnd w:id="296"/>
    </w:p>
    <w:p w14:paraId="4D2A596C">
      <w:pPr>
        <w:rPr>
          <w:color w:val="000000" w:themeColor="text1"/>
          <w14:textFill>
            <w14:solidFill>
              <w14:schemeClr w14:val="tx1"/>
            </w14:solidFill>
          </w14:textFill>
        </w:rPr>
      </w:pPr>
      <w:bookmarkStart w:id="297" w:name="_Toc456527721"/>
      <w:bookmarkStart w:id="298" w:name="_Toc360569564"/>
      <w:bookmarkStart w:id="299" w:name="_Toc363315959"/>
      <w:r>
        <w:rPr>
          <w:rFonts w:hint="eastAsia"/>
          <w:color w:val="000000" w:themeColor="text1"/>
          <w14:textFill>
            <w14:solidFill>
              <w14:schemeClr w14:val="tx1"/>
            </w14:solidFill>
          </w14:textFill>
        </w:rPr>
        <w:t>依据《危险化学品重大危险源辨识》（GB18218-2018），危险化学品重大危险源是指长期地或者临时地生产、储存、使用和经营危险化学品，且危险化学品的数量等于或超过临界量的单元。</w:t>
      </w:r>
    </w:p>
    <w:p w14:paraId="1EDE692B">
      <w:pPr>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危险化学品重大危险源的辨识依据是物质的危险性及数量。</w:t>
      </w:r>
    </w:p>
    <w:p w14:paraId="77115739">
      <w:pPr>
        <w:rPr>
          <w:color w:val="000000" w:themeColor="text1"/>
          <w14:textFill>
            <w14:solidFill>
              <w14:schemeClr w14:val="tx1"/>
            </w14:solidFill>
          </w14:textFill>
        </w:rPr>
      </w:pPr>
      <w:r>
        <w:rPr>
          <w:rFonts w:hint="eastAsia"/>
          <w:color w:val="000000" w:themeColor="text1"/>
          <w14:textFill>
            <w14:solidFill>
              <w14:schemeClr w14:val="tx1"/>
            </w14:solidFill>
          </w14:textFill>
        </w:rPr>
        <w:t>生产单元、储存单元内存在危险化学品的数量等于或超过危险化学品规定的临界量，即被定为重大危险源。单元内存在危险化学品的数量根据危险化学品种类的多少分为以下两种情况：</w:t>
      </w:r>
    </w:p>
    <w:p w14:paraId="536712DF">
      <w:pPr>
        <w:rPr>
          <w:color w:val="000000" w:themeColor="text1"/>
          <w14:textFill>
            <w14:solidFill>
              <w14:schemeClr w14:val="tx1"/>
            </w14:solidFill>
          </w14:textFill>
        </w:rPr>
      </w:pPr>
      <w:r>
        <w:rPr>
          <w:rFonts w:hint="eastAsia"/>
          <w:color w:val="000000" w:themeColor="text1"/>
          <w14:textFill>
            <w14:solidFill>
              <w14:schemeClr w14:val="tx1"/>
            </w14:solidFill>
          </w14:textFill>
        </w:rPr>
        <w:t>（1）生产单元、储存单元内存在的危险化学品为单一品种，该危险化学品的数量即为单元内危险化学品的总量，若等于或超过相应的临界量，则定为重大危险源。</w:t>
      </w:r>
    </w:p>
    <w:p w14:paraId="2E3C3080">
      <w:pPr>
        <w:rPr>
          <w:color w:val="000000" w:themeColor="text1"/>
          <w14:textFill>
            <w14:solidFill>
              <w14:schemeClr w14:val="tx1"/>
            </w14:solidFill>
          </w14:textFill>
        </w:rPr>
      </w:pPr>
      <w:r>
        <w:rPr>
          <w:rFonts w:hint="eastAsia"/>
          <w:color w:val="000000" w:themeColor="text1"/>
          <w14:textFill>
            <w14:solidFill>
              <w14:schemeClr w14:val="tx1"/>
            </w14:solidFill>
          </w14:textFill>
        </w:rPr>
        <w:t>（2）生产单元、储存单元内存在的危险化学品为多品种时，则按下式计算，若满足下面公式，则定为重大危险源：</w:t>
      </w:r>
    </w:p>
    <w:p w14:paraId="072CF826">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S=q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 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≥1        （1）</w:t>
      </w:r>
    </w:p>
    <w:p w14:paraId="2DD9465B">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式中：S            ---辨识指标</w:t>
      </w:r>
    </w:p>
    <w:p w14:paraId="36694E4C">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 xml:space="preserve"> ---每种危险化学品实际存在量，单位为吨（t）；</w:t>
      </w:r>
    </w:p>
    <w:p w14:paraId="33B23F85">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---与每种危险化学品相对应的临界量，单位为吨（t）。</w:t>
      </w:r>
    </w:p>
    <w:p w14:paraId="60816905">
      <w:pPr>
        <w:pStyle w:val="4"/>
        <w:ind w:firstLine="562"/>
        <w:rPr>
          <w:color w:val="000000" w:themeColor="text1"/>
          <w14:textFill>
            <w14:solidFill>
              <w14:schemeClr w14:val="tx1"/>
            </w14:solidFill>
          </w14:textFill>
        </w:rPr>
      </w:pPr>
      <w:bookmarkStart w:id="300" w:name="_Toc1984"/>
      <w:r>
        <w:rPr>
          <w:rFonts w:hint="eastAsia"/>
          <w:color w:val="000000" w:themeColor="text1"/>
          <w14:textFill>
            <w14:solidFill>
              <w14:schemeClr w14:val="tx1"/>
            </w14:solidFill>
          </w14:textFill>
        </w:rPr>
        <w:t>物质的临界量</w:t>
      </w:r>
      <w:bookmarkEnd w:id="297"/>
      <w:bookmarkEnd w:id="298"/>
      <w:bookmarkEnd w:id="299"/>
      <w:bookmarkEnd w:id="300"/>
    </w:p>
    <w:p w14:paraId="2EE25E0F">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根据《危险化学品重大危险源辨识》（GB18218-2018）的规定，汽油的临界量为200t。柴油（W5.4类易燃液体），柴油的临界量为5000t。</w:t>
      </w:r>
    </w:p>
    <w:p w14:paraId="11A8CE33">
      <w:pPr>
        <w:pStyle w:val="4"/>
        <w:ind w:firstLine="562"/>
        <w:rPr>
          <w:color w:val="000000" w:themeColor="text1"/>
          <w14:textFill>
            <w14:solidFill>
              <w14:schemeClr w14:val="tx1"/>
            </w14:solidFill>
          </w14:textFill>
        </w:rPr>
      </w:pPr>
      <w:bookmarkStart w:id="301" w:name="_Toc360569565"/>
      <w:bookmarkStart w:id="302" w:name="_Toc456527722"/>
      <w:bookmarkStart w:id="303" w:name="_Toc25286"/>
      <w:bookmarkStart w:id="304" w:name="_Toc363315960"/>
      <w:r>
        <w:rPr>
          <w:rFonts w:hint="eastAsia"/>
          <w:color w:val="000000" w:themeColor="text1"/>
          <w14:textFill>
            <w14:solidFill>
              <w14:schemeClr w14:val="tx1"/>
            </w14:solidFill>
          </w14:textFill>
        </w:rPr>
        <w:t>重大危险源辨识</w:t>
      </w:r>
      <w:bookmarkEnd w:id="301"/>
      <w:bookmarkEnd w:id="302"/>
      <w:bookmarkEnd w:id="303"/>
      <w:bookmarkEnd w:id="304"/>
    </w:p>
    <w:p w14:paraId="290730EA">
      <w:pPr>
        <w:wordWrap w:val="0"/>
        <w:overflowPunct w:val="0"/>
        <w:adjustRightInd w:val="0"/>
        <w:rPr>
          <w:color w:val="000000" w:themeColor="text1"/>
          <w14:textFill>
            <w14:solidFill>
              <w14:schemeClr w14:val="tx1"/>
            </w14:solidFill>
          </w14:textFill>
        </w:rPr>
      </w:pPr>
      <w:bookmarkStart w:id="305" w:name="_Toc456527723"/>
      <w:bookmarkStart w:id="306" w:name="_Toc360569566"/>
      <w:bookmarkStart w:id="307" w:name="_Toc363315961"/>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汽油罐</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个，汽油罐</w:t>
      </w:r>
      <w:r>
        <w:rPr>
          <w:rFonts w:hint="eastAsia"/>
          <w:color w:val="000000" w:themeColor="text1"/>
          <w:lang w:val="en-US" w:eastAsia="zh-CN"/>
          <w14:textFill>
            <w14:solidFill>
              <w14:schemeClr w14:val="tx1"/>
            </w14:solidFill>
          </w14:textFill>
        </w:rPr>
        <w:t>总</w:t>
      </w:r>
      <w:r>
        <w:rPr>
          <w:rFonts w:hint="eastAsia"/>
          <w:color w:val="000000" w:themeColor="text1"/>
          <w14:textFill>
            <w14:solidFill>
              <w14:schemeClr w14:val="tx1"/>
            </w14:solidFill>
          </w14:textFill>
        </w:rPr>
        <w:t>容积为</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m³，汽油密度取0.775t/m³，该加油站储存的汽油设计最大量为</w:t>
      </w:r>
      <w:r>
        <w:rPr>
          <w:color w:val="000000" w:themeColor="text1"/>
          <w14:textFill>
            <w14:solidFill>
              <w14:schemeClr w14:val="tx1"/>
            </w14:solidFill>
          </w14:textFill>
        </w:rPr>
        <w:t>46.5</w:t>
      </w:r>
      <w:r>
        <w:rPr>
          <w:rFonts w:hint="eastAsia"/>
          <w:color w:val="000000" w:themeColor="text1"/>
          <w14:textFill>
            <w14:solidFill>
              <w14:schemeClr w14:val="tx1"/>
            </w14:solidFill>
          </w14:textFill>
        </w:rPr>
        <w:t>t；</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柴油罐</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个，柴油罐容积为</w:t>
      </w:r>
      <w:r>
        <w:rPr>
          <w:rFonts w:hint="eastAsia"/>
          <w:color w:val="000000" w:themeColor="text1"/>
          <w:lang w:val="en-US" w:eastAsia="zh-CN"/>
          <w14:textFill>
            <w14:solidFill>
              <w14:schemeClr w14:val="tx1"/>
            </w14:solidFill>
          </w14:textFill>
        </w:rPr>
        <w:t>50</w:t>
      </w:r>
      <w:r>
        <w:rPr>
          <w:rFonts w:hint="eastAsia"/>
          <w:color w:val="000000" w:themeColor="text1"/>
          <w14:textFill>
            <w14:solidFill>
              <w14:schemeClr w14:val="tx1"/>
            </w14:solidFill>
          </w14:textFill>
        </w:rPr>
        <w:t>m³，柴油的密度取</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45t/m³，该加油站储存的柴油设计最大量为</w:t>
      </w:r>
      <w:r>
        <w:rPr>
          <w:rFonts w:hint="eastAsia"/>
          <w:color w:val="000000" w:themeColor="text1"/>
          <w:lang w:val="en-US" w:eastAsia="zh-CN"/>
          <w14:textFill>
            <w14:solidFill>
              <w14:schemeClr w14:val="tx1"/>
            </w14:solidFill>
          </w14:textFill>
        </w:rPr>
        <w:t>42.25</w:t>
      </w:r>
      <w:r>
        <w:rPr>
          <w:rFonts w:hint="eastAsia"/>
          <w:color w:val="000000" w:themeColor="text1"/>
          <w14:textFill>
            <w14:solidFill>
              <w14:schemeClr w14:val="tx1"/>
            </w14:solidFill>
          </w14:textFill>
        </w:rPr>
        <w:t>t；则加油站油品储存单元重大危险源计算为：</w:t>
      </w:r>
    </w:p>
    <w:p w14:paraId="508A730F">
      <w:pPr>
        <w:wordWrap w:val="0"/>
        <w:overflowPunct w:val="0"/>
        <w:adjustRightInd w:val="0"/>
        <w:rPr>
          <w:color w:val="000000" w:themeColor="text1"/>
          <w14:textFill>
            <w14:solidFill>
              <w14:schemeClr w14:val="tx1"/>
            </w14:solidFill>
          </w14:textFill>
        </w:rPr>
      </w:pPr>
      <w:r>
        <w:rPr>
          <w:color w:val="000000" w:themeColor="text1"/>
          <w14:textFill>
            <w14:solidFill>
              <w14:schemeClr w14:val="tx1"/>
            </w14:solidFill>
          </w14:textFill>
        </w:rPr>
        <w:t>46.5</w:t>
      </w:r>
      <w:r>
        <w:rPr>
          <w:rFonts w:hint="eastAsia"/>
          <w:color w:val="000000" w:themeColor="text1"/>
          <w14:textFill>
            <w14:solidFill>
              <w14:schemeClr w14:val="tx1"/>
            </w14:solidFill>
          </w14:textFill>
        </w:rPr>
        <w:t>÷200＋</w:t>
      </w:r>
      <w:r>
        <w:rPr>
          <w:rFonts w:hint="eastAsia"/>
          <w:color w:val="000000" w:themeColor="text1"/>
          <w:lang w:val="en-US" w:eastAsia="zh-CN"/>
          <w14:textFill>
            <w14:solidFill>
              <w14:schemeClr w14:val="tx1"/>
            </w14:solidFill>
          </w14:textFill>
        </w:rPr>
        <w:t>42.25</w:t>
      </w:r>
      <w:r>
        <w:rPr>
          <w:rFonts w:hint="eastAsia"/>
          <w:color w:val="000000" w:themeColor="text1"/>
          <w14:textFill>
            <w14:solidFill>
              <w14:schemeClr w14:val="tx1"/>
            </w14:solidFill>
          </w14:textFill>
        </w:rPr>
        <w:t>÷5000≈</w:t>
      </w:r>
      <w:r>
        <w:rPr>
          <w:rFonts w:hint="eastAsia"/>
          <w:color w:val="000000" w:themeColor="text1"/>
          <w:lang w:val="en-US" w:eastAsia="zh-CN"/>
          <w14:textFill>
            <w14:solidFill>
              <w14:schemeClr w14:val="tx1"/>
            </w14:solidFill>
          </w14:textFill>
        </w:rPr>
        <w:t>0.24095</w:t>
      </w:r>
      <w:r>
        <w:rPr>
          <w:rFonts w:hint="eastAsia"/>
          <w:color w:val="000000" w:themeColor="text1"/>
          <w14:textFill>
            <w14:solidFill>
              <w14:schemeClr w14:val="tx1"/>
            </w14:solidFill>
          </w14:textFill>
        </w:rPr>
        <w:t>＜1。</w:t>
      </w:r>
    </w:p>
    <w:p w14:paraId="56EE6D8B">
      <w:pPr>
        <w:ind w:firstLine="562"/>
        <w:rPr>
          <w:rFonts w:hint="eastAsia"/>
          <w:color w:val="000000" w:themeColor="text1"/>
          <w14:textFill>
            <w14:solidFill>
              <w14:schemeClr w14:val="tx1"/>
            </w14:solidFill>
          </w14:textFill>
        </w:rPr>
      </w:pPr>
      <w:r>
        <w:rPr>
          <w:rStyle w:val="67"/>
          <w:rFonts w:hint="eastAsia"/>
          <w:color w:val="000000" w:themeColor="text1"/>
          <w14:textFill>
            <w14:solidFill>
              <w14:schemeClr w14:val="tx1"/>
            </w14:solidFill>
          </w14:textFill>
        </w:rPr>
        <w:t>辨识结果：</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油品储存单元未构成危险化学品重大危险源。</w:t>
      </w:r>
    </w:p>
    <w:p w14:paraId="1B9FEFBE">
      <w:pPr>
        <w:pStyle w:val="3"/>
        <w:rPr>
          <w:color w:val="000000" w:themeColor="text1"/>
          <w14:textFill>
            <w14:solidFill>
              <w14:schemeClr w14:val="tx1"/>
            </w14:solidFill>
          </w14:textFill>
        </w:rPr>
      </w:pPr>
      <w:bookmarkStart w:id="308" w:name="_Toc27007"/>
      <w:r>
        <w:rPr>
          <w:rFonts w:hint="eastAsia"/>
          <w:color w:val="000000" w:themeColor="text1"/>
          <w14:textFill>
            <w14:solidFill>
              <w14:schemeClr w14:val="tx1"/>
            </w14:solidFill>
          </w14:textFill>
        </w:rPr>
        <w:t>重点监管的危险化学品辨识</w:t>
      </w:r>
      <w:bookmarkEnd w:id="305"/>
      <w:bookmarkEnd w:id="306"/>
      <w:bookmarkEnd w:id="307"/>
      <w:bookmarkEnd w:id="308"/>
    </w:p>
    <w:p w14:paraId="0490E689">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根据《首批重点监管的危险化学品名录》（安监总管三〔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95</w:t>
      </w:r>
      <w:r>
        <w:rPr>
          <w:rFonts w:hint="eastAsia"/>
          <w:color w:val="000000" w:themeColor="text1"/>
          <w14:textFill>
            <w14:solidFill>
              <w14:schemeClr w14:val="tx1"/>
            </w14:solidFill>
          </w14:textFill>
        </w:rPr>
        <w:t>号）和《第二批重点监管的危险化学品名录》（安监总管三〔</w:t>
      </w:r>
      <w:r>
        <w:rPr>
          <w:color w:val="000000" w:themeColor="text1"/>
          <w14:textFill>
            <w14:solidFill>
              <w14:schemeClr w14:val="tx1"/>
            </w14:solidFill>
          </w14:textFill>
        </w:rPr>
        <w:t>201</w:t>
      </w:r>
      <w:r>
        <w:rPr>
          <w:rFonts w:hint="eastAsia"/>
          <w:color w:val="000000" w:themeColor="text1"/>
          <w14:textFill>
            <w14:solidFill>
              <w14:schemeClr w14:val="tx1"/>
            </w14:solidFill>
          </w14:textFill>
        </w:rPr>
        <w:t>3〕12号）的规定，该加油站经营的汽油为重点监管的危险化学品，根据《关于印发首批重点监管的危险化学品安全措施和应急处置原则的通知》（总厅管三〔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142</w:t>
      </w:r>
      <w:r>
        <w:rPr>
          <w:rFonts w:hint="eastAsia"/>
          <w:color w:val="000000" w:themeColor="text1"/>
          <w14:textFill>
            <w14:solidFill>
              <w14:schemeClr w14:val="tx1"/>
            </w14:solidFill>
          </w14:textFill>
        </w:rPr>
        <w:t>号）的要求对汽油储存、操作、运输采取相应的安全措施，并制定相应的应急处置原则，确保加油站汽油经营的安全。</w:t>
      </w:r>
    </w:p>
    <w:p w14:paraId="0658E0BA">
      <w:pPr>
        <w:pStyle w:val="3"/>
        <w:rPr>
          <w:color w:val="000000" w:themeColor="text1"/>
          <w14:textFill>
            <w14:solidFill>
              <w14:schemeClr w14:val="tx1"/>
            </w14:solidFill>
          </w14:textFill>
        </w:rPr>
      </w:pPr>
      <w:bookmarkStart w:id="309" w:name="_Toc29863"/>
      <w:r>
        <w:rPr>
          <w:rFonts w:hint="eastAsia"/>
          <w:color w:val="000000" w:themeColor="text1"/>
          <w14:textFill>
            <w14:solidFill>
              <w14:schemeClr w14:val="tx1"/>
            </w14:solidFill>
          </w14:textFill>
        </w:rPr>
        <w:t>特别管控危险化学品辨识</w:t>
      </w:r>
      <w:bookmarkEnd w:id="309"/>
    </w:p>
    <w:p w14:paraId="55A2EE6D">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年5月3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日应急管理部、工业和信息化部、公安部、交通运输部联合发布的《特别管控危险化学品目录（第一版）》对本项目涉及的危险化学品进行辨识，本项目涉及的特别管控危险化学品为汽油。</w:t>
      </w:r>
    </w:p>
    <w:p w14:paraId="16C92996">
      <w:pPr>
        <w:pStyle w:val="3"/>
        <w:rPr>
          <w:color w:val="000000" w:themeColor="text1"/>
          <w14:textFill>
            <w14:solidFill>
              <w14:schemeClr w14:val="tx1"/>
            </w14:solidFill>
          </w14:textFill>
        </w:rPr>
      </w:pPr>
      <w:bookmarkStart w:id="310" w:name="_Toc353831623"/>
      <w:bookmarkStart w:id="311" w:name="_Toc353831875"/>
      <w:bookmarkStart w:id="312" w:name="_Toc353832127"/>
      <w:bookmarkStart w:id="313" w:name="_Toc77355032"/>
      <w:bookmarkStart w:id="314" w:name="_Toc476084976"/>
      <w:bookmarkStart w:id="315" w:name="_Toc78491500"/>
      <w:bookmarkStart w:id="316" w:name="_Toc297"/>
      <w:r>
        <w:rPr>
          <w:rFonts w:hint="eastAsia"/>
          <w:color w:val="000000" w:themeColor="text1"/>
          <w14:textFill>
            <w14:solidFill>
              <w14:schemeClr w14:val="tx1"/>
            </w14:solidFill>
          </w14:textFill>
        </w:rPr>
        <w:t>易制毒化学品</w:t>
      </w:r>
      <w:bookmarkEnd w:id="310"/>
      <w:bookmarkEnd w:id="311"/>
      <w:bookmarkEnd w:id="312"/>
      <w:r>
        <w:rPr>
          <w:rFonts w:hint="eastAsia"/>
          <w:color w:val="000000" w:themeColor="text1"/>
          <w14:textFill>
            <w14:solidFill>
              <w14:schemeClr w14:val="tx1"/>
            </w14:solidFill>
          </w14:textFill>
        </w:rPr>
        <w:t>辨识</w:t>
      </w:r>
      <w:bookmarkEnd w:id="313"/>
      <w:bookmarkEnd w:id="314"/>
      <w:bookmarkEnd w:id="315"/>
      <w:bookmarkEnd w:id="316"/>
    </w:p>
    <w:p w14:paraId="02B5147F">
      <w:pPr>
        <w:rPr>
          <w:color w:val="000000" w:themeColor="text1"/>
          <w14:textFill>
            <w14:solidFill>
              <w14:schemeClr w14:val="tx1"/>
            </w14:solidFill>
          </w14:textFill>
        </w:rPr>
      </w:pPr>
      <w:bookmarkStart w:id="317" w:name="_Toc78491501"/>
      <w:bookmarkStart w:id="318" w:name="_Toc77355033"/>
      <w:bookmarkStart w:id="319" w:name="_Toc476084977"/>
      <w:r>
        <w:rPr>
          <w:rFonts w:hint="eastAsia"/>
          <w:color w:val="000000" w:themeColor="text1"/>
          <w14:textFill>
            <w14:solidFill>
              <w14:schemeClr w14:val="tx1"/>
            </w14:solidFill>
          </w14:textFill>
        </w:rPr>
        <w:t>根据《易制毒化学品管理条例》、</w:t>
      </w:r>
      <w:r>
        <w:rPr>
          <w:color w:val="000000" w:themeColor="text1"/>
          <w14:textFill>
            <w14:solidFill>
              <w14:schemeClr w14:val="tx1"/>
            </w14:solidFill>
          </w14:textFill>
        </w:rPr>
        <w:t>《国务院办公厅关于同意将α-苯乙酰乙酸甲酯等6种物质列入易制毒化学品品种目录的函》</w:t>
      </w:r>
      <w:r>
        <w:rPr>
          <w:rFonts w:hint="eastAsia"/>
          <w:color w:val="000000" w:themeColor="text1"/>
          <w14:textFill>
            <w14:solidFill>
              <w14:schemeClr w14:val="tx1"/>
            </w14:solidFill>
          </w14:textFill>
        </w:rPr>
        <w:t>，加油站不涉及</w:t>
      </w:r>
      <w:r>
        <w:rPr>
          <w:color w:val="000000" w:themeColor="text1"/>
          <w14:textFill>
            <w14:solidFill>
              <w14:schemeClr w14:val="tx1"/>
            </w14:solidFill>
          </w14:textFill>
        </w:rPr>
        <w:t>易制毒化学品。</w:t>
      </w:r>
    </w:p>
    <w:p w14:paraId="3FD819E0">
      <w:pPr>
        <w:pStyle w:val="3"/>
        <w:rPr>
          <w:color w:val="000000" w:themeColor="text1"/>
          <w14:textFill>
            <w14:solidFill>
              <w14:schemeClr w14:val="tx1"/>
            </w14:solidFill>
          </w14:textFill>
        </w:rPr>
      </w:pPr>
      <w:bookmarkStart w:id="320" w:name="_Toc28134"/>
      <w:r>
        <w:rPr>
          <w:rFonts w:hint="eastAsia"/>
          <w:color w:val="000000" w:themeColor="text1"/>
          <w14:textFill>
            <w14:solidFill>
              <w14:schemeClr w14:val="tx1"/>
            </w14:solidFill>
          </w14:textFill>
        </w:rPr>
        <w:t>易制爆危险化学品辨识</w:t>
      </w:r>
      <w:bookmarkEnd w:id="317"/>
      <w:bookmarkEnd w:id="318"/>
      <w:bookmarkEnd w:id="319"/>
      <w:bookmarkEnd w:id="320"/>
    </w:p>
    <w:p w14:paraId="488D4C03">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根据《易制爆危险化学品名录》（公安部，2017年版），加油站不涉及易制爆危险化学品。</w:t>
      </w:r>
    </w:p>
    <w:p w14:paraId="589C98D4">
      <w:pPr>
        <w:pStyle w:val="3"/>
        <w:rPr>
          <w:color w:val="000000" w:themeColor="text1"/>
          <w14:textFill>
            <w14:solidFill>
              <w14:schemeClr w14:val="tx1"/>
            </w14:solidFill>
          </w14:textFill>
        </w:rPr>
      </w:pPr>
      <w:bookmarkStart w:id="321" w:name="_Toc476084978"/>
      <w:bookmarkStart w:id="322" w:name="_Toc23633"/>
      <w:bookmarkStart w:id="323" w:name="_Toc78491502"/>
      <w:bookmarkStart w:id="324" w:name="_Toc77355034"/>
      <w:r>
        <w:rPr>
          <w:rFonts w:hint="eastAsia"/>
          <w:color w:val="000000" w:themeColor="text1"/>
          <w14:textFill>
            <w14:solidFill>
              <w14:schemeClr w14:val="tx1"/>
            </w14:solidFill>
          </w14:textFill>
        </w:rPr>
        <w:t>剧毒化学品辨识</w:t>
      </w:r>
      <w:bookmarkEnd w:id="321"/>
      <w:bookmarkEnd w:id="322"/>
      <w:bookmarkEnd w:id="323"/>
      <w:bookmarkEnd w:id="324"/>
    </w:p>
    <w:p w14:paraId="48EFF277">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根据《危险化学品目录》（2022年调整），加油站不涉及剧毒化学品。</w:t>
      </w:r>
    </w:p>
    <w:p w14:paraId="1DB900BA">
      <w:pPr>
        <w:pStyle w:val="3"/>
        <w:rPr>
          <w:color w:val="000000" w:themeColor="text1"/>
          <w14:textFill>
            <w14:solidFill>
              <w14:schemeClr w14:val="tx1"/>
            </w14:solidFill>
          </w14:textFill>
        </w:rPr>
      </w:pPr>
      <w:bookmarkStart w:id="325" w:name="_Toc28886"/>
      <w:bookmarkStart w:id="326" w:name="_Toc456527724"/>
      <w:bookmarkStart w:id="327" w:name="_Toc360569567"/>
      <w:bookmarkStart w:id="328" w:name="_Toc363315962"/>
      <w:bookmarkStart w:id="329" w:name="_Toc195176745"/>
      <w:bookmarkStart w:id="330" w:name="_Toc258574843"/>
      <w:r>
        <w:rPr>
          <w:rFonts w:hint="eastAsia"/>
          <w:color w:val="000000" w:themeColor="text1"/>
          <w14:textFill>
            <w14:solidFill>
              <w14:schemeClr w14:val="tx1"/>
            </w14:solidFill>
          </w14:textFill>
        </w:rPr>
        <w:t>淘汰落后工艺、设备辨识</w:t>
      </w:r>
      <w:bookmarkEnd w:id="325"/>
    </w:p>
    <w:p w14:paraId="7310AD09">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根据《淘汰落后生产能力、工艺和产品的目录》，加油站不涉及淘汰落后工艺、设备。</w:t>
      </w:r>
    </w:p>
    <w:p w14:paraId="1D95B11D">
      <w:pPr>
        <w:pStyle w:val="3"/>
        <w:rPr>
          <w:color w:val="000000" w:themeColor="text1"/>
          <w14:textFill>
            <w14:solidFill>
              <w14:schemeClr w14:val="tx1"/>
            </w14:solidFill>
          </w14:textFill>
        </w:rPr>
      </w:pPr>
      <w:bookmarkStart w:id="331" w:name="_Toc23273"/>
      <w:r>
        <w:rPr>
          <w:rFonts w:hint="eastAsia"/>
          <w:color w:val="000000" w:themeColor="text1"/>
          <w14:textFill>
            <w14:solidFill>
              <w14:schemeClr w14:val="tx1"/>
            </w14:solidFill>
          </w14:textFill>
        </w:rPr>
        <w:t>本章小结</w:t>
      </w:r>
      <w:bookmarkEnd w:id="326"/>
      <w:bookmarkEnd w:id="327"/>
      <w:bookmarkEnd w:id="328"/>
      <w:bookmarkEnd w:id="331"/>
    </w:p>
    <w:p w14:paraId="6D7673EC">
      <w:pPr>
        <w:rPr>
          <w:color w:val="000000" w:themeColor="text1"/>
          <w14:textFill>
            <w14:solidFill>
              <w14:schemeClr w14:val="tx1"/>
            </w14:solidFill>
          </w14:textFill>
        </w:rPr>
      </w:pPr>
      <w:r>
        <w:rPr>
          <w:rFonts w:hint="eastAsia"/>
          <w:color w:val="000000" w:themeColor="text1"/>
          <w14:textFill>
            <w14:solidFill>
              <w14:schemeClr w14:val="tx1"/>
            </w14:solidFill>
          </w14:textFill>
        </w:rPr>
        <w:t>本章对危险有害因素分析结果表明，加油站的主要危险有害因素有火灾爆炸、触电、车辆伤害、机械伤害、毒性危害、受限空间作业和雷击危险性等。其中最主要的危险有害因素是火灾和爆炸。</w:t>
      </w:r>
    </w:p>
    <w:p w14:paraId="709B2A9B">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事故易发及危险点是：卸油点、油罐区、加油区（加油场地及加油机）、发配电室、站房及管道等作业场所。</w:t>
      </w:r>
    </w:p>
    <w:p w14:paraId="03C30719">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根据《危险化学品重大危险源辨识》（GB18218-20</w:t>
      </w:r>
      <w:r>
        <w:rPr>
          <w:color w:val="000000" w:themeColor="text1"/>
          <w14:textFill>
            <w14:solidFill>
              <w14:schemeClr w14:val="tx1"/>
            </w14:solidFill>
          </w14:textFill>
        </w:rPr>
        <w:t>18</w:t>
      </w:r>
      <w:r>
        <w:rPr>
          <w:rFonts w:hint="eastAsia"/>
          <w:color w:val="000000" w:themeColor="text1"/>
          <w14:textFill>
            <w14:solidFill>
              <w14:schemeClr w14:val="tx1"/>
            </w14:solidFill>
          </w14:textFill>
        </w:rPr>
        <w:t>）的规定，</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控危险化学品，应按要求采取相应的安全对策措施，确保油品经营的安全。</w:t>
      </w:r>
    </w:p>
    <w:p w14:paraId="74FBFC6D">
      <w:pPr>
        <w:rPr>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p>
    <w:bookmarkEnd w:id="329"/>
    <w:p w14:paraId="77534BDD">
      <w:pPr>
        <w:pStyle w:val="2"/>
        <w:spacing w:before="193" w:after="193"/>
        <w:rPr>
          <w:color w:val="000000" w:themeColor="text1"/>
          <w14:textFill>
            <w14:solidFill>
              <w14:schemeClr w14:val="tx1"/>
            </w14:solidFill>
          </w14:textFill>
        </w:rPr>
      </w:pPr>
      <w:bookmarkStart w:id="332" w:name="_Toc4347"/>
      <w:r>
        <w:rPr>
          <w:rFonts w:hint="eastAsia"/>
          <w:color w:val="000000" w:themeColor="text1"/>
          <w14:textFill>
            <w14:solidFill>
              <w14:schemeClr w14:val="tx1"/>
            </w14:solidFill>
          </w14:textFill>
        </w:rPr>
        <w:t>安全评价单元的划分及评价方法</w:t>
      </w:r>
      <w:bookmarkEnd w:id="330"/>
      <w:r>
        <w:rPr>
          <w:rFonts w:hint="eastAsia"/>
          <w:color w:val="000000" w:themeColor="text1"/>
          <w14:textFill>
            <w14:solidFill>
              <w14:schemeClr w14:val="tx1"/>
            </w14:solidFill>
          </w14:textFill>
        </w:rPr>
        <w:t>介绍</w:t>
      </w:r>
      <w:bookmarkEnd w:id="332"/>
    </w:p>
    <w:p w14:paraId="295E9E20">
      <w:pPr>
        <w:pStyle w:val="3"/>
        <w:rPr>
          <w:color w:val="000000" w:themeColor="text1"/>
          <w14:textFill>
            <w14:solidFill>
              <w14:schemeClr w14:val="tx1"/>
            </w14:solidFill>
          </w14:textFill>
        </w:rPr>
      </w:pPr>
      <w:bookmarkStart w:id="333" w:name="_Toc213233037"/>
      <w:bookmarkStart w:id="334" w:name="_Toc195176746"/>
      <w:bookmarkStart w:id="335" w:name="_Toc4175"/>
      <w:bookmarkStart w:id="336" w:name="_Toc258574844"/>
      <w:r>
        <w:rPr>
          <w:rFonts w:hint="eastAsia"/>
          <w:color w:val="000000" w:themeColor="text1"/>
          <w14:textFill>
            <w14:solidFill>
              <w14:schemeClr w14:val="tx1"/>
            </w14:solidFill>
          </w14:textFill>
        </w:rPr>
        <w:t>安全评价单元划分</w:t>
      </w:r>
      <w:bookmarkEnd w:id="333"/>
      <w:bookmarkEnd w:id="334"/>
      <w:bookmarkEnd w:id="335"/>
      <w:bookmarkEnd w:id="336"/>
    </w:p>
    <w:p w14:paraId="12132128">
      <w:pPr>
        <w:pStyle w:val="4"/>
        <w:ind w:firstLine="562"/>
        <w:rPr>
          <w:color w:val="000000" w:themeColor="text1"/>
          <w14:textFill>
            <w14:solidFill>
              <w14:schemeClr w14:val="tx1"/>
            </w14:solidFill>
          </w14:textFill>
        </w:rPr>
      </w:pPr>
      <w:bookmarkStart w:id="337" w:name="_Toc213233038"/>
      <w:bookmarkStart w:id="338" w:name="_Toc29289"/>
      <w:r>
        <w:rPr>
          <w:rFonts w:hint="eastAsia"/>
          <w:color w:val="000000" w:themeColor="text1"/>
          <w14:textFill>
            <w14:solidFill>
              <w14:schemeClr w14:val="tx1"/>
            </w14:solidFill>
          </w14:textFill>
        </w:rPr>
        <w:t>安全评价单元的划分结果</w:t>
      </w:r>
      <w:bookmarkEnd w:id="337"/>
      <w:bookmarkEnd w:id="338"/>
    </w:p>
    <w:p w14:paraId="12A3B978">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根据本次</w:t>
      </w: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w:t>
      </w:r>
      <w:r>
        <w:rPr>
          <w:rFonts w:hint="eastAsia"/>
          <w:color w:val="000000" w:themeColor="text1"/>
          <w14:textFill>
            <w14:solidFill>
              <w14:schemeClr w14:val="tx1"/>
            </w14:solidFill>
          </w14:textFill>
        </w:rPr>
        <w:t>价</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本报告对</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共分</w:t>
      </w:r>
      <w:r>
        <w:rPr>
          <w:rFonts w:hint="eastAsia"/>
          <w:color w:val="000000" w:themeColor="text1"/>
          <w14:textFill>
            <w14:solidFill>
              <w14:schemeClr w14:val="tx1"/>
            </w14:solidFill>
          </w14:textFill>
        </w:rPr>
        <w:t>如下7</w:t>
      </w:r>
      <w:r>
        <w:rPr>
          <w:color w:val="000000" w:themeColor="text1"/>
          <w14:textFill>
            <w14:solidFill>
              <w14:schemeClr w14:val="tx1"/>
            </w14:solidFill>
          </w14:textFill>
        </w:rPr>
        <w:t>个单元进行评价</w:t>
      </w:r>
      <w:r>
        <w:rPr>
          <w:rFonts w:hint="eastAsia"/>
          <w:color w:val="000000" w:themeColor="text1"/>
          <w14:textFill>
            <w14:solidFill>
              <w14:schemeClr w14:val="tx1"/>
            </w14:solidFill>
          </w14:textFill>
        </w:rPr>
        <w:t>：</w:t>
      </w:r>
    </w:p>
    <w:p w14:paraId="16BF37FC">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外部安全条件评价单元；</w:t>
      </w:r>
    </w:p>
    <w:p w14:paraId="4FA5202F">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平面布置评价单元；</w:t>
      </w:r>
    </w:p>
    <w:p w14:paraId="0CBB258B">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工艺及设施评价单元；</w:t>
      </w:r>
    </w:p>
    <w:p w14:paraId="3750BC90">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公用工程评价单元；</w:t>
      </w:r>
    </w:p>
    <w:p w14:paraId="656CA599">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安全设施评价单元；</w:t>
      </w:r>
    </w:p>
    <w:p w14:paraId="51D15C99">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安全管理评价单元；</w:t>
      </w:r>
    </w:p>
    <w:p w14:paraId="40E8963C">
      <w:pPr>
        <w:numPr>
          <w:ilvl w:val="0"/>
          <w:numId w:val="10"/>
        </w:numPr>
        <w:ind w:firstLine="560"/>
        <w:rPr>
          <w:color w:val="000000" w:themeColor="text1"/>
          <w14:textFill>
            <w14:solidFill>
              <w14:schemeClr w14:val="tx1"/>
            </w14:solidFill>
          </w14:textFill>
        </w:rPr>
      </w:pPr>
      <w:bookmarkStart w:id="339" w:name="_Hlk119964065"/>
      <w:r>
        <w:rPr>
          <w:rFonts w:hint="eastAsia"/>
          <w:color w:val="000000" w:themeColor="text1"/>
          <w14:textFill>
            <w14:solidFill>
              <w14:schemeClr w14:val="tx1"/>
            </w14:solidFill>
          </w14:textFill>
        </w:rPr>
        <w:t>重大事故隐患分析评价。</w:t>
      </w:r>
    </w:p>
    <w:bookmarkEnd w:id="339"/>
    <w:p w14:paraId="54242D7A">
      <w:pPr>
        <w:pStyle w:val="4"/>
        <w:ind w:firstLine="562"/>
        <w:rPr>
          <w:color w:val="000000" w:themeColor="text1"/>
          <w14:textFill>
            <w14:solidFill>
              <w14:schemeClr w14:val="tx1"/>
            </w14:solidFill>
          </w14:textFill>
        </w:rPr>
      </w:pPr>
      <w:bookmarkStart w:id="340" w:name="_Toc195176747"/>
      <w:bookmarkStart w:id="341" w:name="_Toc213233039"/>
      <w:bookmarkStart w:id="342" w:name="_Toc7630"/>
      <w:r>
        <w:rPr>
          <w:rFonts w:hint="eastAsia"/>
          <w:color w:val="000000" w:themeColor="text1"/>
          <w14:textFill>
            <w14:solidFill>
              <w14:schemeClr w14:val="tx1"/>
            </w14:solidFill>
          </w14:textFill>
        </w:rPr>
        <w:t>安全评价单元划分说明</w:t>
      </w:r>
      <w:bookmarkEnd w:id="340"/>
      <w:bookmarkEnd w:id="341"/>
      <w:bookmarkEnd w:id="342"/>
    </w:p>
    <w:p w14:paraId="1A848E39">
      <w:pPr>
        <w:pStyle w:val="5"/>
        <w:ind w:firstLine="560"/>
        <w:rPr>
          <w:color w:val="000000" w:themeColor="text1"/>
          <w14:textFill>
            <w14:solidFill>
              <w14:schemeClr w14:val="tx1"/>
            </w14:solidFill>
          </w14:textFill>
        </w:rPr>
      </w:pPr>
      <w:bookmarkStart w:id="343" w:name="_Toc195176748"/>
      <w:r>
        <w:rPr>
          <w:rFonts w:hint="eastAsia"/>
          <w:color w:val="000000" w:themeColor="text1"/>
          <w14:textFill>
            <w14:solidFill>
              <w14:schemeClr w14:val="tx1"/>
            </w14:solidFill>
          </w14:textFill>
        </w:rPr>
        <w:t>评价单元划分原则</w:t>
      </w:r>
      <w:bookmarkEnd w:id="343"/>
    </w:p>
    <w:p w14:paraId="247E3B86">
      <w:pPr>
        <w:rPr>
          <w:color w:val="000000" w:themeColor="text1"/>
          <w14:textFill>
            <w14:solidFill>
              <w14:schemeClr w14:val="tx1"/>
            </w14:solidFill>
          </w14:textFill>
        </w:rPr>
      </w:pPr>
      <w:r>
        <w:rPr>
          <w:rFonts w:hint="eastAsia"/>
          <w:color w:val="000000" w:themeColor="text1"/>
          <w14:textFill>
            <w14:solidFill>
              <w14:schemeClr w14:val="tx1"/>
            </w14:solidFill>
          </w14:textFill>
        </w:rPr>
        <w:t>评价单元就是在危险、有害因素分析的基础上，根据评价目标和评价方法的需要，将系统分成的有限、确定范围进行评价的单元。</w:t>
      </w:r>
      <w:r>
        <w:rPr>
          <w:color w:val="000000" w:themeColor="text1"/>
          <w14:textFill>
            <w14:solidFill>
              <w14:schemeClr w14:val="tx1"/>
            </w14:solidFill>
          </w14:textFill>
        </w:rPr>
        <w:t>划分评价单元是为评价目标和评价方法服务的</w:t>
      </w:r>
      <w:r>
        <w:rPr>
          <w:rFonts w:hint="eastAsia"/>
          <w:color w:val="000000" w:themeColor="text1"/>
          <w14:textFill>
            <w14:solidFill>
              <w14:schemeClr w14:val="tx1"/>
            </w14:solidFill>
          </w14:textFill>
        </w:rPr>
        <w:t>，但</w:t>
      </w:r>
      <w:r>
        <w:rPr>
          <w:color w:val="000000" w:themeColor="text1"/>
          <w14:textFill>
            <w14:solidFill>
              <w14:schemeClr w14:val="tx1"/>
            </w14:solidFill>
          </w14:textFill>
        </w:rPr>
        <w:t>由于至今尚无一个明确通用的“规则”来规范单元的划分方法</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不同的评价人员对同一个评价对象所划分的评价单元有所不同。由于评价目标不同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各评价方法均有自身特点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只要达到评价的目的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评价单元划分并不要求绝对一致。</w:t>
      </w:r>
    </w:p>
    <w:p w14:paraId="68F0886D">
      <w:pPr>
        <w:rPr>
          <w:color w:val="000000" w:themeColor="text1"/>
          <w14:textFill>
            <w14:solidFill>
              <w14:schemeClr w14:val="tx1"/>
            </w14:solidFill>
          </w14:textFill>
        </w:rPr>
      </w:pPr>
      <w:r>
        <w:rPr>
          <w:color w:val="000000" w:themeColor="text1"/>
          <w14:textFill>
            <w14:solidFill>
              <w14:schemeClr w14:val="tx1"/>
            </w14:solidFill>
          </w14:textFill>
        </w:rPr>
        <w:t>评价单元划分应遵循的原则如下</w:t>
      </w:r>
      <w:r>
        <w:rPr>
          <w:rFonts w:hint="eastAsia"/>
          <w:color w:val="000000" w:themeColor="text1"/>
          <w14:textFill>
            <w14:solidFill>
              <w14:schemeClr w14:val="tx1"/>
            </w14:solidFill>
          </w14:textFill>
        </w:rPr>
        <w:t>：</w:t>
      </w:r>
    </w:p>
    <w:p w14:paraId="05BBE0AD">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以危险、有害因素的类别为主划分评价单元</w:t>
      </w:r>
      <w:r>
        <w:rPr>
          <w:rFonts w:hint="eastAsia"/>
          <w:color w:val="000000" w:themeColor="text1"/>
          <w14:textFill>
            <w14:solidFill>
              <w14:schemeClr w14:val="tx1"/>
            </w14:solidFill>
          </w14:textFill>
        </w:rPr>
        <w:t>；</w:t>
      </w:r>
    </w:p>
    <w:p w14:paraId="46D3F20A">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以装置和物质的特征划分评价单元</w:t>
      </w:r>
      <w:r>
        <w:rPr>
          <w:rFonts w:hint="eastAsia"/>
          <w:color w:val="000000" w:themeColor="text1"/>
          <w14:textFill>
            <w14:solidFill>
              <w14:schemeClr w14:val="tx1"/>
            </w14:solidFill>
          </w14:textFill>
        </w:rPr>
        <w:t>；</w:t>
      </w:r>
    </w:p>
    <w:p w14:paraId="4511F94D">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依据评价方法的有关具体规定划分。</w:t>
      </w:r>
    </w:p>
    <w:p w14:paraId="7537AB11">
      <w:pPr>
        <w:pStyle w:val="5"/>
        <w:ind w:firstLine="560"/>
        <w:rPr>
          <w:color w:val="000000" w:themeColor="text1"/>
          <w14:textFill>
            <w14:solidFill>
              <w14:schemeClr w14:val="tx1"/>
            </w14:solidFill>
          </w14:textFill>
        </w:rPr>
      </w:pPr>
      <w:bookmarkStart w:id="344" w:name="_Toc195176749"/>
      <w:r>
        <w:rPr>
          <w:rFonts w:hint="eastAsia"/>
          <w:color w:val="000000" w:themeColor="text1"/>
          <w14:textFill>
            <w14:solidFill>
              <w14:schemeClr w14:val="tx1"/>
            </w14:solidFill>
          </w14:textFill>
        </w:rPr>
        <w:t>评价单元划分依据</w:t>
      </w:r>
      <w:bookmarkEnd w:id="344"/>
    </w:p>
    <w:p w14:paraId="52D9567C">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在对项目进行具体分析时，</w:t>
      </w:r>
      <w:r>
        <w:rPr>
          <w:color w:val="000000" w:themeColor="text1"/>
          <w14:textFill>
            <w14:solidFill>
              <w14:schemeClr w14:val="tx1"/>
            </w14:solidFill>
          </w14:textFill>
        </w:rPr>
        <w:t>为达到对</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进行系统、科学、全面的评价目的</w:t>
      </w:r>
      <w:r>
        <w:rPr>
          <w:rFonts w:hint="eastAsia"/>
          <w:color w:val="000000" w:themeColor="text1"/>
          <w14:textFill>
            <w14:solidFill>
              <w14:schemeClr w14:val="tx1"/>
            </w14:solidFill>
          </w14:textFill>
        </w:rPr>
        <w:t>，首先应从整体上分析项目与周边环境的相互关系，即对项目的外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14:paraId="5EAA786B">
      <w:pPr>
        <w:pStyle w:val="3"/>
        <w:rPr>
          <w:color w:val="000000" w:themeColor="text1"/>
          <w14:textFill>
            <w14:solidFill>
              <w14:schemeClr w14:val="tx1"/>
            </w14:solidFill>
          </w14:textFill>
        </w:rPr>
      </w:pPr>
      <w:bookmarkStart w:id="345" w:name="_Toc213233040"/>
      <w:bookmarkStart w:id="346" w:name="_Toc258574845"/>
      <w:bookmarkStart w:id="347" w:name="_Toc4272"/>
      <w:r>
        <w:rPr>
          <w:rFonts w:hint="eastAsia"/>
          <w:color w:val="000000" w:themeColor="text1"/>
          <w14:textFill>
            <w14:solidFill>
              <w14:schemeClr w14:val="tx1"/>
            </w14:solidFill>
          </w14:textFill>
        </w:rPr>
        <w:t>评价方法选用</w:t>
      </w:r>
      <w:bookmarkEnd w:id="345"/>
      <w:bookmarkEnd w:id="346"/>
      <w:bookmarkEnd w:id="347"/>
    </w:p>
    <w:p w14:paraId="1625CA70">
      <w:pPr>
        <w:pStyle w:val="4"/>
        <w:ind w:firstLine="562"/>
        <w:rPr>
          <w:color w:val="000000" w:themeColor="text1"/>
          <w14:textFill>
            <w14:solidFill>
              <w14:schemeClr w14:val="tx1"/>
            </w14:solidFill>
          </w14:textFill>
        </w:rPr>
      </w:pPr>
      <w:bookmarkStart w:id="348" w:name="_Toc213233041"/>
      <w:bookmarkStart w:id="349" w:name="_Toc23111"/>
      <w:r>
        <w:rPr>
          <w:rFonts w:hint="eastAsia"/>
          <w:color w:val="000000" w:themeColor="text1"/>
          <w14:textFill>
            <w14:solidFill>
              <w14:schemeClr w14:val="tx1"/>
            </w14:solidFill>
          </w14:textFill>
        </w:rPr>
        <w:t>评价方法选用结果</w:t>
      </w:r>
      <w:bookmarkEnd w:id="348"/>
      <w:bookmarkEnd w:id="349"/>
    </w:p>
    <w:p w14:paraId="55C4DC83">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预先危险性分析、</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p>
    <w:p w14:paraId="176B3AE7">
      <w:pPr>
        <w:pStyle w:val="4"/>
        <w:ind w:firstLine="562"/>
        <w:rPr>
          <w:color w:val="000000" w:themeColor="text1"/>
          <w14:textFill>
            <w14:solidFill>
              <w14:schemeClr w14:val="tx1"/>
            </w14:solidFill>
          </w14:textFill>
        </w:rPr>
      </w:pPr>
      <w:bookmarkStart w:id="350" w:name="_Toc21118"/>
      <w:bookmarkStart w:id="351" w:name="_Toc213233042"/>
      <w:r>
        <w:rPr>
          <w:rFonts w:hint="eastAsia"/>
          <w:color w:val="000000" w:themeColor="text1"/>
          <w14:textFill>
            <w14:solidFill>
              <w14:schemeClr w14:val="tx1"/>
            </w14:solidFill>
          </w14:textFill>
        </w:rPr>
        <w:t>评价方法选用说明</w:t>
      </w:r>
      <w:bookmarkEnd w:id="350"/>
      <w:bookmarkEnd w:id="351"/>
    </w:p>
    <w:p w14:paraId="4D937072">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评价方法选用原则</w:t>
      </w:r>
    </w:p>
    <w:p w14:paraId="64C69A57">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评价方法是进行定性、定量安全评价的工具，根据安全评价对象的不同，安全评价的内容和指标也不相同，因此，选用的安全评价方法也不相同。在进行安全评价时，应根据安全评价对象和要实现的安全评价目标，选择适用的安全评价方法，选择安全评价方法应遵循以下原则：</w:t>
      </w:r>
    </w:p>
    <w:p w14:paraId="2655CA5A">
      <w:pPr>
        <w:rPr>
          <w:color w:val="000000" w:themeColor="text1"/>
          <w14:textFill>
            <w14:solidFill>
              <w14:schemeClr w14:val="tx1"/>
            </w14:solidFill>
          </w14:textFill>
        </w:rPr>
      </w:pPr>
      <w:r>
        <w:rPr>
          <w:rFonts w:hint="eastAsia"/>
          <w:color w:val="000000" w:themeColor="text1"/>
          <w14:textFill>
            <w14:solidFill>
              <w14:schemeClr w14:val="tx1"/>
            </w14:solidFill>
          </w14:textFill>
        </w:rPr>
        <w:t>1.充分性原则</w:t>
      </w:r>
    </w:p>
    <w:p w14:paraId="18418D8D">
      <w:pPr>
        <w:rPr>
          <w:color w:val="000000" w:themeColor="text1"/>
          <w14:textFill>
            <w14:solidFill>
              <w14:schemeClr w14:val="tx1"/>
            </w14:solidFill>
          </w14:textFill>
        </w:rPr>
      </w:pPr>
      <w:r>
        <w:rPr>
          <w:rFonts w:hint="eastAsia"/>
          <w:color w:val="000000" w:themeColor="text1"/>
          <w14:textFill>
            <w14:solidFill>
              <w14:schemeClr w14:val="tx1"/>
            </w14:solidFill>
          </w14:textFill>
        </w:rPr>
        <w:t>2.适应性原则</w:t>
      </w:r>
    </w:p>
    <w:p w14:paraId="670C3CC0">
      <w:pPr>
        <w:rPr>
          <w:color w:val="000000" w:themeColor="text1"/>
          <w14:textFill>
            <w14:solidFill>
              <w14:schemeClr w14:val="tx1"/>
            </w14:solidFill>
          </w14:textFill>
        </w:rPr>
      </w:pPr>
      <w:r>
        <w:rPr>
          <w:rFonts w:hint="eastAsia"/>
          <w:color w:val="000000" w:themeColor="text1"/>
          <w14:textFill>
            <w14:solidFill>
              <w14:schemeClr w14:val="tx1"/>
            </w14:solidFill>
          </w14:textFill>
        </w:rPr>
        <w:t>3.系统性原则</w:t>
      </w:r>
    </w:p>
    <w:p w14:paraId="598DC47F">
      <w:pPr>
        <w:rPr>
          <w:color w:val="000000" w:themeColor="text1"/>
          <w14:textFill>
            <w14:solidFill>
              <w14:schemeClr w14:val="tx1"/>
            </w14:solidFill>
          </w14:textFill>
        </w:rPr>
      </w:pPr>
      <w:r>
        <w:rPr>
          <w:rFonts w:hint="eastAsia"/>
          <w:color w:val="000000" w:themeColor="text1"/>
          <w14:textFill>
            <w14:solidFill>
              <w14:schemeClr w14:val="tx1"/>
            </w14:solidFill>
          </w14:textFill>
        </w:rPr>
        <w:t>4.针对性原则</w:t>
      </w:r>
    </w:p>
    <w:p w14:paraId="734FC344">
      <w:pPr>
        <w:rPr>
          <w:color w:val="000000" w:themeColor="text1"/>
          <w14:textFill>
            <w14:solidFill>
              <w14:schemeClr w14:val="tx1"/>
            </w14:solidFill>
          </w14:textFill>
        </w:rPr>
      </w:pPr>
      <w:r>
        <w:rPr>
          <w:rFonts w:hint="eastAsia"/>
          <w:color w:val="000000" w:themeColor="text1"/>
          <w14:textFill>
            <w14:solidFill>
              <w14:schemeClr w14:val="tx1"/>
            </w14:solidFill>
          </w14:textFill>
        </w:rPr>
        <w:t>5.合理性原则</w:t>
      </w:r>
    </w:p>
    <w:p w14:paraId="60D99034">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评价方法选用依据</w:t>
      </w:r>
    </w:p>
    <w:p w14:paraId="4C0F213C">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安全检查表</w:t>
      </w:r>
    </w:p>
    <w:p w14:paraId="33C1919F">
      <w:pPr>
        <w:rPr>
          <w:color w:val="000000" w:themeColor="text1"/>
          <w14:textFill>
            <w14:solidFill>
              <w14:schemeClr w14:val="tx1"/>
            </w14:solidFill>
          </w14:textFill>
        </w:rPr>
      </w:pP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评价主要从评价对象</w:t>
      </w:r>
      <w:r>
        <w:rPr>
          <w:rFonts w:hint="eastAsia"/>
          <w:color w:val="000000" w:themeColor="text1"/>
          <w14:textFill>
            <w14:solidFill>
              <w14:schemeClr w14:val="tx1"/>
            </w14:solidFill>
          </w14:textFill>
        </w:rPr>
        <w:t>平面布置、工艺设备设施、安全设施、公用工程以及安全管理等方面对照现行规范要求进行符合性检查评价，因此选用安全检查表法可以得出最有效的评价结果</w:t>
      </w:r>
      <w:r>
        <w:rPr>
          <w:color w:val="000000" w:themeColor="text1"/>
          <w14:textFill>
            <w14:solidFill>
              <w14:schemeClr w14:val="tx1"/>
            </w14:solidFill>
          </w14:textFill>
        </w:rPr>
        <w:t>。</w:t>
      </w:r>
    </w:p>
    <w:p w14:paraId="58A01D96">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安全检查法</w:t>
      </w:r>
    </w:p>
    <w:p w14:paraId="28781010">
      <w:pPr>
        <w:rPr>
          <w:color w:val="000000" w:themeColor="text1"/>
          <w14:textFill>
            <w14:solidFill>
              <w14:schemeClr w14:val="tx1"/>
            </w14:solidFill>
          </w14:textFill>
        </w:rPr>
      </w:pPr>
      <w:r>
        <w:rPr>
          <w:rFonts w:hint="eastAsia"/>
          <w:color w:val="000000" w:themeColor="text1"/>
          <w14:textFill>
            <w14:solidFill>
              <w14:schemeClr w14:val="tx1"/>
            </w14:solidFill>
          </w14:textFill>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14:paraId="08A374DC">
      <w:pPr>
        <w:pStyle w:val="3"/>
        <w:rPr>
          <w:color w:val="000000" w:themeColor="text1"/>
          <w14:textFill>
            <w14:solidFill>
              <w14:schemeClr w14:val="tx1"/>
            </w14:solidFill>
          </w14:textFill>
        </w:rPr>
      </w:pPr>
      <w:bookmarkStart w:id="352" w:name="_Toc258574846"/>
      <w:bookmarkStart w:id="353" w:name="_Toc213232160"/>
      <w:bookmarkStart w:id="354" w:name="_Toc30670"/>
      <w:bookmarkStart w:id="355" w:name="_Toc213233043"/>
      <w:r>
        <w:rPr>
          <w:rFonts w:hint="eastAsia"/>
          <w:color w:val="000000" w:themeColor="text1"/>
          <w14:textFill>
            <w14:solidFill>
              <w14:schemeClr w14:val="tx1"/>
            </w14:solidFill>
          </w14:textFill>
        </w:rPr>
        <w:t>各评价单元采用的评价方法</w:t>
      </w:r>
      <w:bookmarkEnd w:id="352"/>
      <w:bookmarkEnd w:id="353"/>
      <w:bookmarkEnd w:id="354"/>
      <w:bookmarkEnd w:id="355"/>
    </w:p>
    <w:p w14:paraId="7CEE0E1D">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安全检查法（SR）、</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r>
        <w:rPr>
          <w:rFonts w:hint="eastAsia"/>
          <w:color w:val="000000" w:themeColor="text1"/>
          <w14:textFill>
            <w14:solidFill>
              <w14:schemeClr w14:val="tx1"/>
            </w14:solidFill>
          </w14:textFill>
        </w:rPr>
        <w:t>具体评价单元采用的评价方法如下：</w:t>
      </w:r>
    </w:p>
    <w:p w14:paraId="7BF1F107">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1.外部安全条件评价单元：安全检查法、安全检查表法；</w:t>
      </w:r>
    </w:p>
    <w:p w14:paraId="251A32CE">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2.平面布置评价单元：安全检查法、安全检查表法；</w:t>
      </w:r>
    </w:p>
    <w:p w14:paraId="28C63512">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3.工艺及设施评价单元：安全检查法、安全检查表法；</w:t>
      </w:r>
    </w:p>
    <w:p w14:paraId="5F916185">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4.公用工程评价单元：安全检查法、安全检查表法；</w:t>
      </w:r>
    </w:p>
    <w:p w14:paraId="59BD0C56">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5.安全设施评价单元：安全检查法、安全检查表法；</w:t>
      </w:r>
    </w:p>
    <w:p w14:paraId="7C4E5A3F">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6.安全管理评价单元：</w:t>
      </w:r>
      <w:bookmarkStart w:id="356" w:name="_Hlk119964091"/>
      <w:r>
        <w:rPr>
          <w:rFonts w:hint="eastAsia"/>
          <w:color w:val="000000" w:themeColor="text1"/>
          <w14:textFill>
            <w14:solidFill>
              <w14:schemeClr w14:val="tx1"/>
            </w14:solidFill>
          </w14:textFill>
        </w:rPr>
        <w:t>安全检查法、安全检查表法</w:t>
      </w:r>
      <w:bookmarkEnd w:id="356"/>
      <w:r>
        <w:rPr>
          <w:rFonts w:hint="eastAsia"/>
          <w:color w:val="000000" w:themeColor="text1"/>
          <w14:textFill>
            <w14:solidFill>
              <w14:schemeClr w14:val="tx1"/>
            </w14:solidFill>
          </w14:textFill>
        </w:rPr>
        <w:t>；</w:t>
      </w:r>
    </w:p>
    <w:p w14:paraId="0385C3C5">
      <w:pPr>
        <w:rPr>
          <w:color w:val="000000" w:themeColor="text1"/>
          <w14:textFill>
            <w14:solidFill>
              <w14:schemeClr w14:val="tx1"/>
            </w14:solidFill>
          </w14:textFill>
        </w:rPr>
      </w:pPr>
      <w:bookmarkStart w:id="357" w:name="_Hlk122520327"/>
      <w:r>
        <w:rPr>
          <w:rFonts w:hint="eastAsia"/>
          <w:color w:val="000000" w:themeColor="text1"/>
          <w14:textFill>
            <w14:solidFill>
              <w14:schemeClr w14:val="tx1"/>
            </w14:solidFill>
          </w14:textFill>
        </w:rPr>
        <w:t>7.重大事故隐患分析评价单元：</w:t>
      </w:r>
      <w:bookmarkEnd w:id="357"/>
      <w:r>
        <w:rPr>
          <w:rFonts w:hint="eastAsia"/>
          <w:color w:val="000000" w:themeColor="text1"/>
          <w14:textFill>
            <w14:solidFill>
              <w14:schemeClr w14:val="tx1"/>
            </w14:solidFill>
          </w14:textFill>
        </w:rPr>
        <w:t>安全检查法、安全检查表法。</w:t>
      </w:r>
    </w:p>
    <w:p w14:paraId="734F5DB7">
      <w:pPr>
        <w:rPr>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p>
    <w:p w14:paraId="29674D58">
      <w:pPr>
        <w:pStyle w:val="2"/>
        <w:spacing w:before="193" w:after="193"/>
        <w:rPr>
          <w:color w:val="000000" w:themeColor="text1"/>
          <w14:textFill>
            <w14:solidFill>
              <w14:schemeClr w14:val="tx1"/>
            </w14:solidFill>
          </w14:textFill>
        </w:rPr>
      </w:pPr>
      <w:bookmarkStart w:id="358" w:name="_Toc195176755"/>
      <w:bookmarkStart w:id="359" w:name="_Toc258574847"/>
      <w:bookmarkStart w:id="360" w:name="_Toc30514"/>
      <w:r>
        <w:rPr>
          <w:rFonts w:hint="eastAsia"/>
          <w:color w:val="000000" w:themeColor="text1"/>
          <w14:textFill>
            <w14:solidFill>
              <w14:schemeClr w14:val="tx1"/>
            </w14:solidFill>
          </w14:textFill>
        </w:rPr>
        <w:t>定性分析</w:t>
      </w:r>
      <w:bookmarkEnd w:id="358"/>
      <w:bookmarkEnd w:id="359"/>
      <w:r>
        <w:rPr>
          <w:rFonts w:hint="eastAsia"/>
          <w:color w:val="000000" w:themeColor="text1"/>
          <w14:textFill>
            <w14:solidFill>
              <w14:schemeClr w14:val="tx1"/>
            </w14:solidFill>
          </w14:textFill>
        </w:rPr>
        <w:t>评价</w:t>
      </w:r>
      <w:bookmarkEnd w:id="360"/>
    </w:p>
    <w:p w14:paraId="6DA82FDC">
      <w:pPr>
        <w:pStyle w:val="3"/>
        <w:rPr>
          <w:color w:val="000000" w:themeColor="text1"/>
          <w14:textFill>
            <w14:solidFill>
              <w14:schemeClr w14:val="tx1"/>
            </w14:solidFill>
          </w14:textFill>
        </w:rPr>
      </w:pPr>
      <w:bookmarkStart w:id="361" w:name="_Toc258574849"/>
      <w:bookmarkStart w:id="362" w:name="_Toc195176757"/>
      <w:bookmarkStart w:id="363" w:name="_Toc8064"/>
      <w:bookmarkStart w:id="364" w:name="_Toc187699937"/>
      <w:r>
        <w:rPr>
          <w:rFonts w:hint="eastAsia"/>
          <w:color w:val="000000" w:themeColor="text1"/>
          <w14:textFill>
            <w14:solidFill>
              <w14:schemeClr w14:val="tx1"/>
            </w14:solidFill>
          </w14:textFill>
        </w:rPr>
        <w:t>定性分析</w:t>
      </w:r>
      <w:bookmarkEnd w:id="361"/>
      <w:bookmarkEnd w:id="362"/>
      <w:r>
        <w:rPr>
          <w:rFonts w:hint="eastAsia"/>
          <w:color w:val="000000" w:themeColor="text1"/>
          <w14:textFill>
            <w14:solidFill>
              <w14:schemeClr w14:val="tx1"/>
            </w14:solidFill>
          </w14:textFill>
        </w:rPr>
        <w:t>危险、有害程度</w:t>
      </w:r>
      <w:bookmarkEnd w:id="363"/>
      <w:bookmarkStart w:id="365" w:name="_Toc184958709"/>
      <w:bookmarkStart w:id="366" w:name="_Toc181600457"/>
      <w:bookmarkStart w:id="367" w:name="_Toc116909514"/>
      <w:bookmarkStart w:id="368" w:name="_Toc172100104"/>
    </w:p>
    <w:p w14:paraId="249EE294">
      <w:pPr>
        <w:rPr>
          <w:color w:val="000000" w:themeColor="text1"/>
          <w14:textFill>
            <w14:solidFill>
              <w14:schemeClr w14:val="tx1"/>
            </w14:solidFill>
          </w14:textFill>
        </w:rPr>
      </w:pPr>
      <w:r>
        <w:rPr>
          <w:rFonts w:hint="eastAsia"/>
          <w:color w:val="000000" w:themeColor="text1"/>
          <w14:textFill>
            <w14:solidFill>
              <w14:schemeClr w14:val="tx1"/>
            </w14:solidFill>
          </w14:textFill>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w:t>
      </w:r>
    </w:p>
    <w:p w14:paraId="071E5557">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  预先危险性分析表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770"/>
        <w:gridCol w:w="1584"/>
        <w:gridCol w:w="642"/>
        <w:gridCol w:w="888"/>
        <w:gridCol w:w="643"/>
        <w:gridCol w:w="2895"/>
      </w:tblGrid>
      <w:tr w14:paraId="25011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9" w:type="dxa"/>
            <w:vAlign w:val="center"/>
          </w:tcPr>
          <w:p w14:paraId="24DFF15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危险因素</w:t>
            </w:r>
          </w:p>
        </w:tc>
        <w:tc>
          <w:tcPr>
            <w:tcW w:w="1770" w:type="dxa"/>
            <w:vAlign w:val="center"/>
          </w:tcPr>
          <w:p w14:paraId="5DEBFEF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产生原因</w:t>
            </w:r>
          </w:p>
        </w:tc>
        <w:tc>
          <w:tcPr>
            <w:tcW w:w="1584" w:type="dxa"/>
            <w:vAlign w:val="center"/>
          </w:tcPr>
          <w:p w14:paraId="682E9416">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触发条件</w:t>
            </w:r>
          </w:p>
        </w:tc>
        <w:tc>
          <w:tcPr>
            <w:tcW w:w="642" w:type="dxa"/>
            <w:vAlign w:val="center"/>
          </w:tcPr>
          <w:p w14:paraId="74C8504B">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事故类型</w:t>
            </w:r>
          </w:p>
        </w:tc>
        <w:tc>
          <w:tcPr>
            <w:tcW w:w="888" w:type="dxa"/>
            <w:vAlign w:val="center"/>
          </w:tcPr>
          <w:p w14:paraId="52BBAB1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可能后果</w:t>
            </w:r>
          </w:p>
        </w:tc>
        <w:tc>
          <w:tcPr>
            <w:tcW w:w="643" w:type="dxa"/>
            <w:vAlign w:val="center"/>
          </w:tcPr>
          <w:p w14:paraId="409D23A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危险等级</w:t>
            </w:r>
          </w:p>
        </w:tc>
        <w:tc>
          <w:tcPr>
            <w:tcW w:w="2895" w:type="dxa"/>
            <w:vAlign w:val="center"/>
          </w:tcPr>
          <w:p w14:paraId="0D29A430">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14:paraId="1877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3F5FAA3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422" w:type="dxa"/>
            <w:gridSpan w:val="6"/>
            <w:vAlign w:val="center"/>
          </w:tcPr>
          <w:p w14:paraId="211AB5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卸油点</w:t>
            </w:r>
          </w:p>
        </w:tc>
      </w:tr>
      <w:tr w14:paraId="495D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555CA08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770" w:type="dxa"/>
            <w:vAlign w:val="center"/>
          </w:tcPr>
          <w:p w14:paraId="1989726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584" w:type="dxa"/>
            <w:vAlign w:val="center"/>
          </w:tcPr>
          <w:p w14:paraId="1621E82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42" w:type="dxa"/>
            <w:vAlign w:val="center"/>
          </w:tcPr>
          <w:p w14:paraId="499212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888" w:type="dxa"/>
            <w:vAlign w:val="center"/>
          </w:tcPr>
          <w:p w14:paraId="6D26865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0B279864">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67F4E6E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14:paraId="7B7A0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78CD0E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770" w:type="dxa"/>
            <w:vAlign w:val="center"/>
          </w:tcPr>
          <w:p w14:paraId="47F7AFD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584" w:type="dxa"/>
            <w:vAlign w:val="center"/>
          </w:tcPr>
          <w:p w14:paraId="38C0C0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42" w:type="dxa"/>
            <w:vAlign w:val="center"/>
          </w:tcPr>
          <w:p w14:paraId="368898A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888" w:type="dxa"/>
            <w:vAlign w:val="center"/>
          </w:tcPr>
          <w:p w14:paraId="48078CD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643" w:type="dxa"/>
            <w:vAlign w:val="center"/>
          </w:tcPr>
          <w:p w14:paraId="4286A378">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4D180C4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14:paraId="581AE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373E887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770" w:type="dxa"/>
            <w:vAlign w:val="center"/>
          </w:tcPr>
          <w:p w14:paraId="2999966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584" w:type="dxa"/>
            <w:vAlign w:val="center"/>
          </w:tcPr>
          <w:p w14:paraId="23165E5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42" w:type="dxa"/>
            <w:vAlign w:val="center"/>
          </w:tcPr>
          <w:p w14:paraId="41217DB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888" w:type="dxa"/>
            <w:vAlign w:val="center"/>
          </w:tcPr>
          <w:p w14:paraId="152C6D4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643" w:type="dxa"/>
            <w:vAlign w:val="center"/>
          </w:tcPr>
          <w:p w14:paraId="2C2DEA0C">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6661609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14:paraId="467D6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FF89B7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770" w:type="dxa"/>
            <w:vAlign w:val="center"/>
          </w:tcPr>
          <w:p w14:paraId="3E8FE92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584" w:type="dxa"/>
            <w:vAlign w:val="center"/>
          </w:tcPr>
          <w:p w14:paraId="58336C7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42" w:type="dxa"/>
            <w:vAlign w:val="center"/>
          </w:tcPr>
          <w:p w14:paraId="362B0A5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888" w:type="dxa"/>
            <w:vAlign w:val="center"/>
          </w:tcPr>
          <w:p w14:paraId="56F42C1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54977DC3">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1727297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14:paraId="2277B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02338B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422" w:type="dxa"/>
            <w:gridSpan w:val="6"/>
            <w:vAlign w:val="center"/>
          </w:tcPr>
          <w:p w14:paraId="0213AA4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r>
      <w:tr w14:paraId="688D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6A35DA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770" w:type="dxa"/>
            <w:vAlign w:val="center"/>
          </w:tcPr>
          <w:p w14:paraId="2C33126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584" w:type="dxa"/>
            <w:vAlign w:val="center"/>
          </w:tcPr>
          <w:p w14:paraId="5B376DA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42" w:type="dxa"/>
            <w:vAlign w:val="center"/>
          </w:tcPr>
          <w:p w14:paraId="51DF167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888" w:type="dxa"/>
            <w:vAlign w:val="center"/>
          </w:tcPr>
          <w:p w14:paraId="586B780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223204A6">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2A9693C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14:paraId="10B6F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CCDF3F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770" w:type="dxa"/>
            <w:vAlign w:val="center"/>
          </w:tcPr>
          <w:p w14:paraId="1427612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1.设计不周；</w:t>
            </w:r>
          </w:p>
          <w:p w14:paraId="62D80D9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2.施工质量不良；</w:t>
            </w:r>
          </w:p>
          <w:p w14:paraId="41C466B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3.不按要求进行定期检修。</w:t>
            </w:r>
          </w:p>
        </w:tc>
        <w:tc>
          <w:tcPr>
            <w:tcW w:w="1584" w:type="dxa"/>
            <w:vAlign w:val="center"/>
          </w:tcPr>
          <w:p w14:paraId="2D66C59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1.风速过大；</w:t>
            </w:r>
          </w:p>
          <w:p w14:paraId="767785B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2.降雨、降雪；3.地震。</w:t>
            </w:r>
          </w:p>
        </w:tc>
        <w:tc>
          <w:tcPr>
            <w:tcW w:w="642" w:type="dxa"/>
            <w:vAlign w:val="center"/>
          </w:tcPr>
          <w:p w14:paraId="13FE277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888" w:type="dxa"/>
            <w:vAlign w:val="center"/>
          </w:tcPr>
          <w:p w14:paraId="0E17866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542F1C48">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358241F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1.罩棚设计、施工单位必须具备相关资质；</w:t>
            </w:r>
          </w:p>
          <w:p w14:paraId="330C560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2.设计应符合相应的规范要求；</w:t>
            </w:r>
          </w:p>
          <w:p w14:paraId="4D64019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3.严格按照设计图纸进行施工，未经设计单位同意，严禁变更设计图纸；</w:t>
            </w:r>
          </w:p>
          <w:p w14:paraId="08BDFF5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4.加强安全管理，按设计要求定期对罩棚进行检修、维护。</w:t>
            </w:r>
          </w:p>
        </w:tc>
      </w:tr>
      <w:tr w14:paraId="470F7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5429151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770" w:type="dxa"/>
            <w:vAlign w:val="center"/>
          </w:tcPr>
          <w:p w14:paraId="7D715CB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584" w:type="dxa"/>
            <w:vAlign w:val="center"/>
          </w:tcPr>
          <w:p w14:paraId="47ABC18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42" w:type="dxa"/>
            <w:vAlign w:val="center"/>
          </w:tcPr>
          <w:p w14:paraId="076BF33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888" w:type="dxa"/>
            <w:vAlign w:val="center"/>
          </w:tcPr>
          <w:p w14:paraId="43A0858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643" w:type="dxa"/>
            <w:vAlign w:val="center"/>
          </w:tcPr>
          <w:p w14:paraId="556796FC">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3F5EB97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14:paraId="5AE7A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5ED231E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770" w:type="dxa"/>
            <w:vAlign w:val="center"/>
          </w:tcPr>
          <w:p w14:paraId="5D8936C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584" w:type="dxa"/>
            <w:vAlign w:val="center"/>
          </w:tcPr>
          <w:p w14:paraId="4639132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42" w:type="dxa"/>
            <w:vAlign w:val="center"/>
          </w:tcPr>
          <w:p w14:paraId="23CE00A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888" w:type="dxa"/>
            <w:vAlign w:val="center"/>
          </w:tcPr>
          <w:p w14:paraId="169344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2092A506">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0C22D25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14:paraId="3F535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7284DC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770" w:type="dxa"/>
            <w:vAlign w:val="center"/>
          </w:tcPr>
          <w:p w14:paraId="55DDA73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1.对罩棚照明等检修或其他高处检修作业或巡查时未采取安全防护措施；2.高于2m以上作业无</w:t>
            </w:r>
            <w:r>
              <w:rPr>
                <w:color w:val="000000" w:themeColor="text1"/>
                <w14:textFill>
                  <w14:solidFill>
                    <w14:schemeClr w14:val="tx1"/>
                  </w14:solidFill>
                </w14:textFill>
              </w:rPr>
              <w:t>有效</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安全防护</w:t>
            </w:r>
            <w:r>
              <w:rPr>
                <w:rFonts w:hint="eastAsia"/>
                <w:color w:val="000000" w:themeColor="text1"/>
                <w14:textFill>
                  <w14:solidFill>
                    <w14:schemeClr w14:val="tx1"/>
                  </w14:solidFill>
                </w14:textFill>
              </w:rPr>
              <w:t>措施。</w:t>
            </w:r>
          </w:p>
        </w:tc>
        <w:tc>
          <w:tcPr>
            <w:tcW w:w="1584" w:type="dxa"/>
            <w:vAlign w:val="center"/>
          </w:tcPr>
          <w:p w14:paraId="5ABE29F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不落实高处作业的各项安全措施就进行作业。</w:t>
            </w:r>
          </w:p>
        </w:tc>
        <w:tc>
          <w:tcPr>
            <w:tcW w:w="642" w:type="dxa"/>
            <w:vAlign w:val="center"/>
          </w:tcPr>
          <w:p w14:paraId="60D1296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888" w:type="dxa"/>
            <w:vAlign w:val="center"/>
          </w:tcPr>
          <w:p w14:paraId="68649A7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643" w:type="dxa"/>
            <w:vAlign w:val="center"/>
          </w:tcPr>
          <w:p w14:paraId="0F376693">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2E424C0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14:paraId="798A2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1B9A4F0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770" w:type="dxa"/>
            <w:vAlign w:val="center"/>
          </w:tcPr>
          <w:p w14:paraId="73DA7D0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1.传动装置未加盖防护罩；2.设备在运转过程中进行检修作业。</w:t>
            </w:r>
          </w:p>
        </w:tc>
        <w:tc>
          <w:tcPr>
            <w:tcW w:w="1584" w:type="dxa"/>
            <w:vAlign w:val="center"/>
          </w:tcPr>
          <w:p w14:paraId="4B5280A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人体接触传动设备部件或转动设备。</w:t>
            </w:r>
          </w:p>
        </w:tc>
        <w:tc>
          <w:tcPr>
            <w:tcW w:w="642" w:type="dxa"/>
            <w:vAlign w:val="center"/>
          </w:tcPr>
          <w:p w14:paraId="0C0EB37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888" w:type="dxa"/>
            <w:vAlign w:val="center"/>
          </w:tcPr>
          <w:p w14:paraId="06108DB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人员受伤</w:t>
            </w:r>
          </w:p>
        </w:tc>
        <w:tc>
          <w:tcPr>
            <w:tcW w:w="643" w:type="dxa"/>
            <w:vAlign w:val="center"/>
          </w:tcPr>
          <w:p w14:paraId="24B3199B">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0503C32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1.外露传动装置或转动部件加装安全防护罩；2.严格按设备检修规程和安全规程进行检修；3.加强安全教育，提高安全意识；4.佩戴劳动防护用品。</w:t>
            </w:r>
          </w:p>
        </w:tc>
      </w:tr>
      <w:tr w14:paraId="0812D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B06AF7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422" w:type="dxa"/>
            <w:gridSpan w:val="6"/>
            <w:vAlign w:val="center"/>
          </w:tcPr>
          <w:p w14:paraId="41BBF6F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p>
        </w:tc>
      </w:tr>
      <w:tr w14:paraId="5048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16E1F7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770" w:type="dxa"/>
            <w:vAlign w:val="center"/>
          </w:tcPr>
          <w:p w14:paraId="13743D1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584" w:type="dxa"/>
            <w:vAlign w:val="center"/>
          </w:tcPr>
          <w:p w14:paraId="28CF63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42" w:type="dxa"/>
            <w:vAlign w:val="center"/>
          </w:tcPr>
          <w:p w14:paraId="3DBBC0F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888" w:type="dxa"/>
            <w:vAlign w:val="center"/>
          </w:tcPr>
          <w:p w14:paraId="76AC6F2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067A621E">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795A49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14:paraId="3F000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3EB4B19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770" w:type="dxa"/>
            <w:vAlign w:val="center"/>
          </w:tcPr>
          <w:p w14:paraId="73FA782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584" w:type="dxa"/>
            <w:vAlign w:val="center"/>
          </w:tcPr>
          <w:p w14:paraId="141957C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42" w:type="dxa"/>
            <w:vAlign w:val="center"/>
          </w:tcPr>
          <w:p w14:paraId="4F348E5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888" w:type="dxa"/>
            <w:vAlign w:val="center"/>
          </w:tcPr>
          <w:p w14:paraId="31BBE8C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643" w:type="dxa"/>
            <w:vAlign w:val="center"/>
          </w:tcPr>
          <w:p w14:paraId="035E105F">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6CF934B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14:paraId="19F00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4B3C00A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422" w:type="dxa"/>
            <w:gridSpan w:val="6"/>
            <w:vAlign w:val="center"/>
          </w:tcPr>
          <w:p w14:paraId="65F3105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储油区</w:t>
            </w:r>
          </w:p>
        </w:tc>
      </w:tr>
      <w:tr w14:paraId="0ECCD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72A185E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770" w:type="dxa"/>
            <w:vAlign w:val="center"/>
          </w:tcPr>
          <w:p w14:paraId="1862A78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584" w:type="dxa"/>
            <w:vAlign w:val="center"/>
          </w:tcPr>
          <w:p w14:paraId="00764E0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42" w:type="dxa"/>
            <w:vAlign w:val="center"/>
          </w:tcPr>
          <w:p w14:paraId="4FAB7D0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888" w:type="dxa"/>
            <w:vAlign w:val="center"/>
          </w:tcPr>
          <w:p w14:paraId="36D2D1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2458BD23">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0F4A42E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14:paraId="7A4DF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0DD18D1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770" w:type="dxa"/>
            <w:vAlign w:val="center"/>
          </w:tcPr>
          <w:p w14:paraId="7AB44A1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584" w:type="dxa"/>
            <w:vAlign w:val="center"/>
          </w:tcPr>
          <w:p w14:paraId="4433D4B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42" w:type="dxa"/>
            <w:vAlign w:val="center"/>
          </w:tcPr>
          <w:p w14:paraId="4E80461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888" w:type="dxa"/>
            <w:vAlign w:val="center"/>
          </w:tcPr>
          <w:p w14:paraId="4D48D13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643" w:type="dxa"/>
            <w:vAlign w:val="center"/>
          </w:tcPr>
          <w:p w14:paraId="465626A2">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105A6B6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14:paraId="2B875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299B745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770" w:type="dxa"/>
            <w:vAlign w:val="center"/>
          </w:tcPr>
          <w:p w14:paraId="37FB856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584" w:type="dxa"/>
            <w:vAlign w:val="center"/>
          </w:tcPr>
          <w:p w14:paraId="3F6CA3B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42" w:type="dxa"/>
            <w:vAlign w:val="center"/>
          </w:tcPr>
          <w:p w14:paraId="615EDC8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888" w:type="dxa"/>
            <w:vAlign w:val="center"/>
          </w:tcPr>
          <w:p w14:paraId="0DE6789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643" w:type="dxa"/>
            <w:vAlign w:val="center"/>
          </w:tcPr>
          <w:p w14:paraId="244D4C5A">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14:paraId="5AF9A51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14:paraId="32C5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1" w:type="dxa"/>
            <w:gridSpan w:val="7"/>
            <w:vAlign w:val="center"/>
          </w:tcPr>
          <w:p w14:paraId="180FB0B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w:t>
            </w:r>
          </w:p>
        </w:tc>
      </w:tr>
      <w:tr w14:paraId="6B1E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491692C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770" w:type="dxa"/>
            <w:vAlign w:val="center"/>
          </w:tcPr>
          <w:p w14:paraId="66D9A8D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1.高温致使油蒸气蒸发量加大；</w:t>
            </w:r>
          </w:p>
          <w:p w14:paraId="3A7C412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2.低温致使油罐、管路破裂，油品泄漏。</w:t>
            </w:r>
          </w:p>
        </w:tc>
        <w:tc>
          <w:tcPr>
            <w:tcW w:w="1584" w:type="dxa"/>
            <w:vAlign w:val="center"/>
          </w:tcPr>
          <w:p w14:paraId="7675A1A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1.将火种带入禁火区；2.在禁火区违章动火或使用铁质工具；3.静电打火；4.雷击；5.电气、线路老化造成短路；6.加油站外有点火源。</w:t>
            </w:r>
          </w:p>
        </w:tc>
        <w:tc>
          <w:tcPr>
            <w:tcW w:w="642" w:type="dxa"/>
            <w:vAlign w:val="center"/>
          </w:tcPr>
          <w:p w14:paraId="1224742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888" w:type="dxa"/>
            <w:vAlign w:val="center"/>
          </w:tcPr>
          <w:p w14:paraId="72E5EB2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0440FC34">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3F3E9FE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14:paraId="22E85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9" w:type="dxa"/>
            <w:vAlign w:val="center"/>
          </w:tcPr>
          <w:p w14:paraId="771F1DC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770" w:type="dxa"/>
            <w:vAlign w:val="center"/>
          </w:tcPr>
          <w:p w14:paraId="4EE9DC0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地面沉陷、地震、</w:t>
            </w:r>
            <w:r>
              <w:rPr>
                <w:rFonts w:hint="eastAsia"/>
                <w:color w:val="000000" w:themeColor="text1"/>
                <w:lang w:val="en-US" w:eastAsia="zh-CN"/>
                <w14:textFill>
                  <w14:solidFill>
                    <w14:schemeClr w14:val="tx1"/>
                  </w14:solidFill>
                </w14:textFill>
              </w:rPr>
              <w:t>围墙</w:t>
            </w:r>
            <w:r>
              <w:rPr>
                <w:rFonts w:hint="eastAsia"/>
                <w:color w:val="000000" w:themeColor="text1"/>
                <w14:textFill>
                  <w14:solidFill>
                    <w14:schemeClr w14:val="tx1"/>
                  </w14:solidFill>
                </w14:textFill>
              </w:rPr>
              <w:t>坍塌。</w:t>
            </w:r>
          </w:p>
        </w:tc>
        <w:tc>
          <w:tcPr>
            <w:tcW w:w="1584" w:type="dxa"/>
            <w:vAlign w:val="center"/>
          </w:tcPr>
          <w:p w14:paraId="4306572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1.地质条件不良；2.地震；3.设计不符合规范要求；4.施工不良。</w:t>
            </w:r>
          </w:p>
        </w:tc>
        <w:tc>
          <w:tcPr>
            <w:tcW w:w="642" w:type="dxa"/>
            <w:vAlign w:val="center"/>
          </w:tcPr>
          <w:p w14:paraId="12448B6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888" w:type="dxa"/>
            <w:vAlign w:val="center"/>
          </w:tcPr>
          <w:p w14:paraId="3D079E3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643" w:type="dxa"/>
            <w:vAlign w:val="center"/>
          </w:tcPr>
          <w:p w14:paraId="216D6385">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14:paraId="37548A3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1.进行地质勘查；2.设计单位必须有相应资质；3.设计应符合相应的规范要求；4.严格按照设计图纸进行施工，未经设计单位同意，变更设计图纸。</w:t>
            </w:r>
          </w:p>
        </w:tc>
      </w:tr>
      <w:bookmarkEnd w:id="365"/>
      <w:bookmarkEnd w:id="366"/>
      <w:bookmarkEnd w:id="367"/>
      <w:bookmarkEnd w:id="368"/>
    </w:tbl>
    <w:p w14:paraId="69264054">
      <w:pPr>
        <w:pStyle w:val="3"/>
        <w:rPr>
          <w:color w:val="000000" w:themeColor="text1"/>
          <w14:textFill>
            <w14:solidFill>
              <w14:schemeClr w14:val="tx1"/>
            </w14:solidFill>
          </w14:textFill>
        </w:rPr>
      </w:pPr>
      <w:bookmarkStart w:id="369" w:name="_Toc5594"/>
      <w:r>
        <w:rPr>
          <w:rFonts w:hint="eastAsia"/>
          <w:color w:val="000000" w:themeColor="text1"/>
          <w14:textFill>
            <w14:solidFill>
              <w14:schemeClr w14:val="tx1"/>
            </w14:solidFill>
          </w14:textFill>
        </w:rPr>
        <w:t>事故案例</w:t>
      </w:r>
      <w:bookmarkEnd w:id="369"/>
    </w:p>
    <w:p w14:paraId="720FD59E">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油罐车卸油后晃车卸余油拉断罐车底阀事故</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2009年4月1日22时许，驾驶员李某驾驶油罐车在某加油站卸完油后，为卸尽车内余油，在卸油管仍与油罐车、油罐同时连接的情况下即进行晃车。在晃车过程中，李某误操作（将倒挡挂成二档），车辆行驶幅度过大，将罐车海底阀拉断。事件未造成其他设备损坏及油品泄漏。</w:t>
      </w:r>
    </w:p>
    <w:p w14:paraId="0D1120E6">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原因分析：承运人员安全意识淡薄，图省事，采取不规范的卸油方式，在未取下卸油管的情况下即进行晃车，加之业务技能不熟练，导致事件发生。加油站监卸人员卸油作业现场监管不到位，未能及时制止承运人员的不安全行为间接导致事件发生。</w:t>
      </w:r>
    </w:p>
    <w:p w14:paraId="46E39BB9">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经验教训：此次事件虽未造成严重后果，但通过晃车卸余油带来的安全隐患必须引起我们的高度重视。晃车卸余油一是易造成罐车内剩余油品产生、聚集静电，晃车完毕接卸余油时，一旦未能有效连接静电接地线，极易引发火灾事故，类似事故已在系统内发生并造成了严重损失。二是油罐车在加油站内急速行驶晃动，给站内员工及进站加油人员人身安全带来威胁，极易造成交通事故。各企业要吸取此次未遂事件的经验教训，切实加强加油站内油罐车卸余油的管理。</w:t>
      </w:r>
    </w:p>
    <w:p w14:paraId="1EE42C6B">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防范措施：企业要加强对承运商司运人员的教育培训，完善相应的规章制度，明确要求油罐车卸余油要通过规范的方式进行，如在指定地点，利用地形坡度等方式。严格执行禁令和纪律，结合“我要安全”主题活动，落实规章制度，规范操作行为，进一步强化加油站卸油环节的安全质量管理，加油站油品监卸人员要切实负起责任，及时发现并有效制止违章行为。</w:t>
      </w:r>
    </w:p>
    <w:p w14:paraId="5E37D723">
      <w:pPr>
        <w:pStyle w:val="3"/>
        <w:rPr>
          <w:color w:val="000000" w:themeColor="text1"/>
          <w14:textFill>
            <w14:solidFill>
              <w14:schemeClr w14:val="tx1"/>
            </w14:solidFill>
          </w14:textFill>
        </w:rPr>
      </w:pPr>
      <w:bookmarkStart w:id="370" w:name="_Toc31979"/>
      <w:r>
        <w:rPr>
          <w:rFonts w:hint="eastAsia"/>
          <w:color w:val="000000" w:themeColor="text1"/>
          <w14:textFill>
            <w14:solidFill>
              <w14:schemeClr w14:val="tx1"/>
            </w14:solidFill>
          </w14:textFill>
        </w:rPr>
        <w:t>本章小结</w:t>
      </w:r>
      <w:bookmarkEnd w:id="370"/>
    </w:p>
    <w:p w14:paraId="497D7BBC">
      <w:pPr>
        <w:keepNext w:val="0"/>
        <w:keepLines w:val="0"/>
        <w:pageBreakBefore w:val="0"/>
        <w:widowControl w:val="0"/>
        <w:kinsoku/>
        <w:wordWrap/>
        <w:overflowPunct/>
        <w:topLinePunct w:val="0"/>
        <w:autoSpaceDE/>
        <w:autoSpaceDN/>
        <w:bidi w:val="0"/>
        <w:adjustRightInd/>
        <w:snapToGrid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预先危险性分析结果：预先危险性分析过程见上表5</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（定性分析危险、有害程度），分析结果如下：</w:t>
      </w:r>
    </w:p>
    <w:p w14:paraId="0F7544E6">
      <w:pPr>
        <w:keepNext w:val="0"/>
        <w:keepLines w:val="0"/>
        <w:pageBreakBefore w:val="0"/>
        <w:widowControl w:val="0"/>
        <w:kinsoku/>
        <w:wordWrap/>
        <w:overflowPunct/>
        <w:topLinePunct w:val="0"/>
        <w:autoSpaceDE/>
        <w:autoSpaceDN/>
        <w:bidi w:val="0"/>
        <w:adjustRightInd/>
        <w:snapToGrid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主要危险物质为汽油和柴油，危险有害因素为火灾爆炸、触电、机械伤害、中毒与窒息、车辆伤害、高处坠落、坍塌等。其中，火灾爆炸、坍塌的危险性等级为Ⅳ级，窒息、车辆伤害、触电、中毒、高处坠落、机械伤害的危险性等级为III级。</w:t>
      </w:r>
    </w:p>
    <w:p w14:paraId="54905527">
      <w:pPr>
        <w:keepNext w:val="0"/>
        <w:keepLines w:val="0"/>
        <w:pageBreakBefore w:val="0"/>
        <w:widowControl w:val="0"/>
        <w:kinsoku/>
        <w:wordWrap/>
        <w:overflowPunct/>
        <w:topLinePunct w:val="0"/>
        <w:autoSpaceDE/>
        <w:autoSpaceDN/>
        <w:bidi w:val="0"/>
        <w:adjustRightInd/>
        <w:snapToGrid w:val="0"/>
        <w:spacing w:line="480" w:lineRule="exact"/>
        <w:textAlignment w:val="auto"/>
        <w:rPr>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r>
        <w:rPr>
          <w:rFonts w:hint="eastAsia"/>
          <w:color w:val="000000" w:themeColor="text1"/>
          <w14:textFill>
            <w14:solidFill>
              <w14:schemeClr w14:val="tx1"/>
            </w14:solidFill>
          </w14:textFill>
        </w:rPr>
        <w:t>本章针对其危险源潜在事故及其触发条件进行了分析，指出了防止项目存在的危险转化为事故的主要防范措施。通过预先危险性分析，确定进一步分析的范围，使分析、评价后提出的消除、控制危险的措施更具有针对性。</w:t>
      </w:r>
    </w:p>
    <w:bookmarkEnd w:id="364"/>
    <w:p w14:paraId="7BB6B1A1">
      <w:pPr>
        <w:pStyle w:val="2"/>
        <w:spacing w:before="193" w:after="193"/>
        <w:rPr>
          <w:color w:val="000000" w:themeColor="text1"/>
          <w14:textFill>
            <w14:solidFill>
              <w14:schemeClr w14:val="tx1"/>
            </w14:solidFill>
          </w14:textFill>
        </w:rPr>
      </w:pPr>
      <w:bookmarkStart w:id="371" w:name="_Toc195176759"/>
      <w:bookmarkStart w:id="372" w:name="_Toc258574851"/>
      <w:bookmarkStart w:id="373" w:name="_Toc24968"/>
      <w:r>
        <w:rPr>
          <w:rFonts w:hint="eastAsia"/>
          <w:color w:val="000000" w:themeColor="text1"/>
          <w14:textFill>
            <w14:solidFill>
              <w14:schemeClr w14:val="tx1"/>
            </w14:solidFill>
          </w14:textFill>
        </w:rPr>
        <w:t>各单元分析</w:t>
      </w:r>
      <w:bookmarkEnd w:id="371"/>
      <w:bookmarkEnd w:id="372"/>
      <w:r>
        <w:rPr>
          <w:rFonts w:hint="eastAsia"/>
          <w:color w:val="000000" w:themeColor="text1"/>
          <w14:textFill>
            <w14:solidFill>
              <w14:schemeClr w14:val="tx1"/>
            </w14:solidFill>
          </w14:textFill>
        </w:rPr>
        <w:t>评价</w:t>
      </w:r>
      <w:bookmarkEnd w:id="373"/>
    </w:p>
    <w:p w14:paraId="7497A39F">
      <w:pPr>
        <w:pStyle w:val="3"/>
        <w:rPr>
          <w:color w:val="000000" w:themeColor="text1"/>
          <w14:textFill>
            <w14:solidFill>
              <w14:schemeClr w14:val="tx1"/>
            </w14:solidFill>
          </w14:textFill>
        </w:rPr>
      </w:pPr>
      <w:bookmarkStart w:id="374" w:name="_Toc258574852"/>
      <w:bookmarkStart w:id="375" w:name="_Toc195176760"/>
      <w:bookmarkStart w:id="376" w:name="_Toc15795"/>
      <w:r>
        <w:rPr>
          <w:rFonts w:hint="eastAsia"/>
          <w:color w:val="000000" w:themeColor="text1"/>
          <w14:textFill>
            <w14:solidFill>
              <w14:schemeClr w14:val="tx1"/>
            </w14:solidFill>
          </w14:textFill>
        </w:rPr>
        <w:t>外部安全条件分析</w:t>
      </w:r>
      <w:bookmarkEnd w:id="374"/>
      <w:bookmarkEnd w:id="375"/>
      <w:r>
        <w:rPr>
          <w:rFonts w:hint="eastAsia"/>
          <w:color w:val="000000" w:themeColor="text1"/>
          <w14:textFill>
            <w14:solidFill>
              <w14:schemeClr w14:val="tx1"/>
            </w14:solidFill>
          </w14:textFill>
        </w:rPr>
        <w:t>评价</w:t>
      </w:r>
      <w:bookmarkEnd w:id="376"/>
    </w:p>
    <w:p w14:paraId="3DE166C0">
      <w:pPr>
        <w:pStyle w:val="4"/>
        <w:ind w:firstLine="562"/>
        <w:rPr>
          <w:color w:val="000000" w:themeColor="text1"/>
          <w14:textFill>
            <w14:solidFill>
              <w14:schemeClr w14:val="tx1"/>
            </w14:solidFill>
          </w14:textFill>
        </w:rPr>
      </w:pPr>
      <w:bookmarkStart w:id="377" w:name="_Toc17627"/>
      <w:bookmarkStart w:id="378" w:name="_Toc195176761"/>
      <w:r>
        <w:rPr>
          <w:rFonts w:hint="eastAsia"/>
          <w:color w:val="000000" w:themeColor="text1"/>
          <w14:textFill>
            <w14:solidFill>
              <w14:schemeClr w14:val="tx1"/>
            </w14:solidFill>
          </w14:textFill>
        </w:rPr>
        <w:t>站址选择分析评价</w:t>
      </w:r>
      <w:bookmarkEnd w:id="377"/>
    </w:p>
    <w:p w14:paraId="467B8827">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依据《汽车加油加气加氢站技术标准》（GB50156-2021）编制安全检查表对加油站站址进行分析评价，检查结果见表6-1。</w:t>
      </w:r>
    </w:p>
    <w:p w14:paraId="736AE3F3">
      <w:pPr>
        <w:pStyle w:val="78"/>
        <w:rPr>
          <w:b w:val="0"/>
          <w:bCs/>
          <w:color w:val="000000" w:themeColor="text1"/>
          <w14:textFill>
            <w14:solidFill>
              <w14:schemeClr w14:val="tx1"/>
            </w14:solidFill>
          </w14:textFill>
        </w:rPr>
      </w:pPr>
      <w:r>
        <w:rPr>
          <w:rFonts w:hint="eastAsia"/>
          <w:color w:val="000000" w:themeColor="text1"/>
          <w14:textFill>
            <w14:solidFill>
              <w14:schemeClr w14:val="tx1"/>
            </w14:solidFill>
          </w14:textFill>
        </w:rPr>
        <w:t>表6-1  加油站站址安全检查表</w:t>
      </w:r>
    </w:p>
    <w:tbl>
      <w:tblPr>
        <w:tblStyle w:val="33"/>
        <w:tblW w:w="907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44"/>
        <w:gridCol w:w="1619"/>
        <w:gridCol w:w="2837"/>
        <w:gridCol w:w="771"/>
      </w:tblGrid>
      <w:tr w14:paraId="1E70D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3844" w:type="dxa"/>
            <w:vAlign w:val="center"/>
          </w:tcPr>
          <w:p w14:paraId="38170053">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检查内容</w:t>
            </w:r>
          </w:p>
        </w:tc>
        <w:tc>
          <w:tcPr>
            <w:tcW w:w="1619" w:type="dxa"/>
            <w:vAlign w:val="center"/>
          </w:tcPr>
          <w:p w14:paraId="49618923">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检查依据</w:t>
            </w:r>
          </w:p>
        </w:tc>
        <w:tc>
          <w:tcPr>
            <w:tcW w:w="2837" w:type="dxa"/>
            <w:vAlign w:val="center"/>
          </w:tcPr>
          <w:p w14:paraId="29F9D888">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检查结果</w:t>
            </w:r>
          </w:p>
        </w:tc>
        <w:tc>
          <w:tcPr>
            <w:tcW w:w="771" w:type="dxa"/>
            <w:vAlign w:val="center"/>
          </w:tcPr>
          <w:p w14:paraId="3F1D6D02">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14:paraId="60DFAC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14:paraId="710224DA">
            <w:pPr>
              <w:pStyle w:val="77"/>
              <w:jc w:val="left"/>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汽车加油站的站址选择应符合有关规划、环境保护和防火安全的要求，并应选在交通便利、用户使用方便的地点</w:t>
            </w:r>
            <w:r>
              <w:rPr>
                <w:color w:val="000000" w:themeColor="text1"/>
                <w14:textFill>
                  <w14:solidFill>
                    <w14:schemeClr w14:val="tx1"/>
                  </w14:solidFill>
                </w14:textFill>
              </w:rPr>
              <w:t>。</w:t>
            </w:r>
          </w:p>
        </w:tc>
        <w:tc>
          <w:tcPr>
            <w:tcW w:w="1619" w:type="dxa"/>
            <w:vAlign w:val="center"/>
          </w:tcPr>
          <w:p w14:paraId="1F4404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GB50156-2021第4.0.1条</w:t>
            </w:r>
          </w:p>
        </w:tc>
        <w:tc>
          <w:tcPr>
            <w:tcW w:w="2837" w:type="dxa"/>
            <w:vAlign w:val="center"/>
          </w:tcPr>
          <w:p w14:paraId="2BC9C9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文山市古木镇南街文马公路旁</w:t>
            </w:r>
            <w:r>
              <w:rPr>
                <w:rFonts w:hint="eastAsia"/>
                <w:color w:val="000000" w:themeColor="text1"/>
                <w14:textFill>
                  <w14:solidFill>
                    <w14:schemeClr w14:val="tx1"/>
                  </w14:solidFill>
                </w14:textFill>
              </w:rPr>
              <w:t>，所处位置交通便利。</w:t>
            </w:r>
          </w:p>
        </w:tc>
        <w:tc>
          <w:tcPr>
            <w:tcW w:w="771" w:type="dxa"/>
            <w:vAlign w:val="center"/>
          </w:tcPr>
          <w:p w14:paraId="732F166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5A5B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14:paraId="7931F6D7">
            <w:pPr>
              <w:pStyle w:val="77"/>
              <w:keepNext w:val="0"/>
              <w:keepLines w:val="0"/>
              <w:pageBreakBefore w:val="0"/>
              <w:widowControl w:val="0"/>
              <w:kinsoku/>
              <w:wordWrap/>
              <w:overflowPunct/>
              <w:topLinePunct/>
              <w:autoSpaceDE/>
              <w:autoSpaceDN/>
              <w:bidi w:val="0"/>
              <w:adjustRightInd w:val="0"/>
              <w:snapToGrid w:val="0"/>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在城市中心区不应建一级汽车加油站。</w:t>
            </w:r>
          </w:p>
        </w:tc>
        <w:tc>
          <w:tcPr>
            <w:tcW w:w="1619" w:type="dxa"/>
            <w:vAlign w:val="center"/>
          </w:tcPr>
          <w:p w14:paraId="51D96E3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GB50156-2021第4.0.2条</w:t>
            </w:r>
          </w:p>
        </w:tc>
        <w:tc>
          <w:tcPr>
            <w:tcW w:w="2837" w:type="dxa"/>
            <w:vAlign w:val="center"/>
          </w:tcPr>
          <w:p w14:paraId="2E355437">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加油站属于</w:t>
            </w:r>
            <w:r>
              <w:rPr>
                <w:rFonts w:hint="eastAsia"/>
                <w:color w:val="000000" w:themeColor="text1"/>
                <w:lang w:val="en-US" w:eastAsia="zh-CN"/>
                <w14:textFill>
                  <w14:solidFill>
                    <w14:schemeClr w14:val="tx1"/>
                  </w14:solidFill>
                </w14:textFill>
              </w:rPr>
              <w:t>三</w:t>
            </w:r>
            <w:r>
              <w:rPr>
                <w:rFonts w:hint="eastAsia"/>
                <w:color w:val="000000" w:themeColor="text1"/>
                <w14:textFill>
                  <w14:solidFill>
                    <w14:schemeClr w14:val="tx1"/>
                  </w14:solidFill>
                </w14:textFill>
              </w:rPr>
              <w:t>级加油站</w:t>
            </w:r>
            <w:r>
              <w:rPr>
                <w:rFonts w:hint="eastAsia"/>
                <w:color w:val="000000" w:themeColor="text1"/>
                <w:lang w:eastAsia="zh-CN"/>
                <w14:textFill>
                  <w14:solidFill>
                    <w14:schemeClr w14:val="tx1"/>
                  </w14:solidFill>
                </w14:textFill>
              </w:rPr>
              <w:t>。</w:t>
            </w:r>
          </w:p>
        </w:tc>
        <w:tc>
          <w:tcPr>
            <w:tcW w:w="771" w:type="dxa"/>
            <w:vAlign w:val="center"/>
          </w:tcPr>
          <w:p w14:paraId="2536B29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96F26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14:paraId="09FEA9DB">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3.城市建成区内的汽车加油站宜靠近城市道路，但不宜选在城市干道的交叉路口附近</w:t>
            </w:r>
            <w:r>
              <w:rPr>
                <w:color w:val="000000" w:themeColor="text1"/>
                <w14:textFill>
                  <w14:solidFill>
                    <w14:schemeClr w14:val="tx1"/>
                  </w14:solidFill>
                </w14:textFill>
              </w:rPr>
              <w:t>。</w:t>
            </w:r>
          </w:p>
        </w:tc>
        <w:tc>
          <w:tcPr>
            <w:tcW w:w="1619" w:type="dxa"/>
            <w:vAlign w:val="center"/>
          </w:tcPr>
          <w:p w14:paraId="26E5A14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4A9CF24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第4.0.3条</w:t>
            </w:r>
          </w:p>
        </w:tc>
        <w:tc>
          <w:tcPr>
            <w:tcW w:w="2837" w:type="dxa"/>
            <w:vAlign w:val="center"/>
          </w:tcPr>
          <w:p w14:paraId="1155819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位于文山市古木镇南街文马公路旁，靠近文平公路</w:t>
            </w:r>
            <w:r>
              <w:rPr>
                <w:rFonts w:hint="eastAsia"/>
                <w:color w:val="000000" w:themeColor="text1"/>
                <w14:textFill>
                  <w14:solidFill>
                    <w14:schemeClr w14:val="tx1"/>
                  </w14:solidFill>
                </w14:textFill>
              </w:rPr>
              <w:t>。</w:t>
            </w:r>
          </w:p>
        </w:tc>
        <w:tc>
          <w:tcPr>
            <w:tcW w:w="771" w:type="dxa"/>
            <w:vAlign w:val="center"/>
          </w:tcPr>
          <w:p w14:paraId="30E3965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5B86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14:paraId="7AFF53E8">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.加油站的</w:t>
            </w:r>
            <w:r>
              <w:rPr>
                <w:rFonts w:hint="eastAsia"/>
                <w:color w:val="000000" w:themeColor="text1"/>
                <w14:textFill>
                  <w14:solidFill>
                    <w14:schemeClr w14:val="tx1"/>
                  </w14:solidFill>
                </w14:textFill>
              </w:rPr>
              <w:t>汽油、柴油工艺设备</w:t>
            </w:r>
            <w:r>
              <w:rPr>
                <w:color w:val="000000" w:themeColor="text1"/>
                <w14:textFill>
                  <w14:solidFill>
                    <w14:schemeClr w14:val="tx1"/>
                  </w14:solidFill>
                </w14:textFill>
              </w:rPr>
              <w:t>与站外建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筑物的防火距离应</w:t>
            </w:r>
            <w:r>
              <w:rPr>
                <w:rFonts w:hint="eastAsia"/>
                <w:color w:val="000000" w:themeColor="text1"/>
                <w14:textFill>
                  <w14:solidFill>
                    <w14:schemeClr w14:val="tx1"/>
                  </w14:solidFill>
                </w14:textFill>
              </w:rPr>
              <w:t>符合本规范中表4.0.4中的规定</w:t>
            </w:r>
            <w:r>
              <w:rPr>
                <w:color w:val="000000" w:themeColor="text1"/>
                <w14:textFill>
                  <w14:solidFill>
                    <w14:schemeClr w14:val="tx1"/>
                  </w14:solidFill>
                </w14:textFill>
              </w:rPr>
              <w:t>。</w:t>
            </w:r>
          </w:p>
        </w:tc>
        <w:tc>
          <w:tcPr>
            <w:tcW w:w="1619" w:type="dxa"/>
            <w:vAlign w:val="center"/>
          </w:tcPr>
          <w:p w14:paraId="234A179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304AA71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第4.0.4条</w:t>
            </w:r>
          </w:p>
        </w:tc>
        <w:tc>
          <w:tcPr>
            <w:tcW w:w="2837" w:type="dxa"/>
            <w:vAlign w:val="center"/>
          </w:tcPr>
          <w:p w14:paraId="4BA34674">
            <w:pPr>
              <w:pStyle w:val="77"/>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加油站与相关设施的距离符合规范的要求</w:t>
            </w:r>
            <w:r>
              <w:rPr>
                <w:rFonts w:hint="eastAsia"/>
                <w:color w:val="000000" w:themeColor="text1"/>
                <w:lang w:eastAsia="zh-CN"/>
                <w14:textFill>
                  <w14:solidFill>
                    <w14:schemeClr w14:val="tx1"/>
                  </w14:solidFill>
                </w14:textFill>
              </w:rPr>
              <w:t>。</w:t>
            </w:r>
          </w:p>
        </w:tc>
        <w:tc>
          <w:tcPr>
            <w:tcW w:w="771" w:type="dxa"/>
            <w:vAlign w:val="center"/>
          </w:tcPr>
          <w:p w14:paraId="6A064F7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478CA907">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检查结果：</w:t>
      </w:r>
    </w:p>
    <w:p w14:paraId="7CD9340F">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加油站所处位置交通便利，加油站的设施</w:t>
      </w:r>
      <w:r>
        <w:rPr>
          <w:color w:val="000000" w:themeColor="text1"/>
          <w14:textFill>
            <w14:solidFill>
              <w14:schemeClr w14:val="tx1"/>
            </w14:solidFill>
          </w14:textFill>
        </w:rPr>
        <w:t>与站外建、构筑物的</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距离</w:t>
      </w:r>
      <w:r>
        <w:rPr>
          <w:rFonts w:hint="eastAsia"/>
          <w:color w:val="000000" w:themeColor="text1"/>
          <w14:textFill>
            <w14:solidFill>
              <w14:schemeClr w14:val="tx1"/>
            </w14:solidFill>
          </w14:textFill>
        </w:rPr>
        <w:t>，从</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平面布置来看，</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《汽车加油加气加氢站技术标准》（GB50156-2021）对加油站站址</w:t>
      </w:r>
      <w:r>
        <w:rPr>
          <w:color w:val="000000" w:themeColor="text1"/>
          <w14:textFill>
            <w14:solidFill>
              <w14:schemeClr w14:val="tx1"/>
            </w14:solidFill>
          </w14:textFill>
        </w:rPr>
        <w:t>的要求。</w:t>
      </w:r>
    </w:p>
    <w:p w14:paraId="3CE6772C">
      <w:pPr>
        <w:pStyle w:val="4"/>
        <w:ind w:firstLine="562"/>
        <w:rPr>
          <w:color w:val="000000" w:themeColor="text1"/>
          <w14:textFill>
            <w14:solidFill>
              <w14:schemeClr w14:val="tx1"/>
            </w14:solidFill>
          </w14:textFill>
        </w:rPr>
      </w:pPr>
      <w:bookmarkStart w:id="379" w:name="_Toc28506"/>
      <w:r>
        <w:rPr>
          <w:rFonts w:hint="eastAsia"/>
          <w:color w:val="000000" w:themeColor="text1"/>
          <w14:textFill>
            <w14:solidFill>
              <w14:schemeClr w14:val="tx1"/>
            </w14:solidFill>
          </w14:textFill>
        </w:rPr>
        <w:t>加油站对周边环境的影响分析评价</w:t>
      </w:r>
      <w:bookmarkEnd w:id="379"/>
    </w:p>
    <w:p w14:paraId="1C81D121">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该加油站运行过程中，若安全管理不到位、设备缺陷或人员操作失误，造成加油站储罐发生泄漏，泄漏的油品挥发形成蒸气云，若遇到点火源将会发生爆炸，危及加油站周边道路行人的生命及财产安全。</w:t>
      </w:r>
    </w:p>
    <w:p w14:paraId="1EA5EF7D">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根据计算及对照</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的平面布置，汽油储罐发生蒸气云雾爆炸后，其对人体的伤害及其对周围的建构筑物及设备的破坏范围覆盖整个加油站及周边</w:t>
      </w:r>
      <w:r>
        <w:rPr>
          <w:rFonts w:hint="eastAsia"/>
          <w:color w:val="000000" w:themeColor="text1"/>
          <w:lang w:val="en-US" w:eastAsia="zh-CN"/>
          <w14:textFill>
            <w14:solidFill>
              <w14:schemeClr w14:val="tx1"/>
            </w14:solidFill>
          </w14:textFill>
        </w:rPr>
        <w:t>建筑</w:t>
      </w:r>
      <w:r>
        <w:rPr>
          <w:rFonts w:hint="eastAsia"/>
          <w:color w:val="000000" w:themeColor="text1"/>
          <w14:textFill>
            <w14:solidFill>
              <w14:schemeClr w14:val="tx1"/>
            </w14:solidFill>
          </w14:textFill>
        </w:rPr>
        <w:t>，后果是非常严重的。尽管汽油储罐爆炸事故发生时其危害性较大，但此事故发生的概率极低，是可以通过加强安全管理和采取安全技术措施加以预防的。</w:t>
      </w:r>
    </w:p>
    <w:p w14:paraId="35A155D0">
      <w:pPr>
        <w:pStyle w:val="4"/>
        <w:ind w:firstLine="562"/>
        <w:rPr>
          <w:color w:val="000000" w:themeColor="text1"/>
          <w14:textFill>
            <w14:solidFill>
              <w14:schemeClr w14:val="tx1"/>
            </w14:solidFill>
          </w14:textFill>
        </w:rPr>
      </w:pPr>
      <w:bookmarkStart w:id="380" w:name="_Toc14119"/>
      <w:r>
        <w:rPr>
          <w:rFonts w:hint="eastAsia"/>
          <w:color w:val="000000" w:themeColor="text1"/>
          <w14:textFill>
            <w14:solidFill>
              <w14:schemeClr w14:val="tx1"/>
            </w14:solidFill>
          </w14:textFill>
        </w:rPr>
        <w:t>加油站周边环境对加油站运行的影响</w:t>
      </w:r>
      <w:bookmarkEnd w:id="380"/>
    </w:p>
    <w:p w14:paraId="35551ACD">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加油站周边居民、设施对加油站运行的影响</w:t>
      </w:r>
    </w:p>
    <w:p w14:paraId="5C10AE6A">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加油站周边无重要公共建筑物，其他建筑物与加油站油罐、通气管、加油机的距离符合《汽车加油加气加氢站技术标准》（GB50156-2021）的要求。加油站区边界设置有实体围墙与周边隔开，站内2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h有人值守，配备有视频监控系统，进出站区均设置有车辆减速标志。周边道路上行驶的车辆、周边居民等对加油站的影响在可接受范围内。</w:t>
      </w:r>
    </w:p>
    <w:p w14:paraId="3E7E9ECB">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在加油站日常运营过程中，认真落实对加油站的安全管理，加强相关设施的安全检查，加油站是可以安全运行的。</w:t>
      </w:r>
    </w:p>
    <w:p w14:paraId="6ADE1A5B">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应急救援及交通的影响</w:t>
      </w:r>
    </w:p>
    <w:p w14:paraId="7A41FA3B">
      <w:pPr>
        <w:pStyle w:val="1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文山市古木镇南街文马公路旁</w:t>
      </w:r>
      <w:r>
        <w:rPr>
          <w:rFonts w:hint="eastAsia"/>
          <w:color w:val="000000" w:themeColor="text1"/>
          <w14:textFill>
            <w14:solidFill>
              <w14:schemeClr w14:val="tx1"/>
            </w14:solidFill>
          </w14:textFill>
        </w:rPr>
        <w:t>，交通运输十分便利。加油站发生事故时，可就近向附近相关部门求援，应急救援力量有保障。</w:t>
      </w:r>
    </w:p>
    <w:p w14:paraId="2E15B87D">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加油站前的道路能满足项目应急救援的需要，使事故后果损失大幅度减少。</w:t>
      </w:r>
    </w:p>
    <w:p w14:paraId="402F9D22">
      <w:pPr>
        <w:pStyle w:val="4"/>
        <w:ind w:firstLine="562"/>
        <w:rPr>
          <w:color w:val="000000" w:themeColor="text1"/>
          <w14:textFill>
            <w14:solidFill>
              <w14:schemeClr w14:val="tx1"/>
            </w14:solidFill>
          </w14:textFill>
        </w:rPr>
      </w:pPr>
      <w:bookmarkStart w:id="381" w:name="_Toc13399"/>
      <w:r>
        <w:rPr>
          <w:rFonts w:hint="eastAsia"/>
          <w:color w:val="000000" w:themeColor="text1"/>
          <w14:textFill>
            <w14:solidFill>
              <w14:schemeClr w14:val="tx1"/>
            </w14:solidFill>
          </w14:textFill>
        </w:rPr>
        <w:t>所在地自然条件对加油站运行的影响</w:t>
      </w:r>
      <w:bookmarkEnd w:id="381"/>
    </w:p>
    <w:p w14:paraId="687D368C">
      <w:pPr>
        <w:pStyle w:val="5"/>
        <w:ind w:firstLine="560"/>
        <w:rPr>
          <w:color w:val="000000" w:themeColor="text1"/>
          <w14:textFill>
            <w14:solidFill>
              <w14:schemeClr w14:val="tx1"/>
            </w14:solidFill>
          </w14:textFill>
        </w:rPr>
      </w:pPr>
      <w:bookmarkStart w:id="382" w:name="_Toc259450480"/>
      <w:r>
        <w:rPr>
          <w:rFonts w:hint="eastAsia"/>
          <w:color w:val="000000" w:themeColor="text1"/>
          <w14:textFill>
            <w14:solidFill>
              <w14:schemeClr w14:val="tx1"/>
            </w14:solidFill>
          </w14:textFill>
        </w:rPr>
        <w:t>风的影响</w:t>
      </w:r>
      <w:bookmarkEnd w:id="382"/>
    </w:p>
    <w:p w14:paraId="37C02DEA">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依据项目所在地风速、主导风向，该地风向、风速对加油站影响不大。</w:t>
      </w:r>
    </w:p>
    <w:p w14:paraId="5055C8CF">
      <w:pPr>
        <w:pStyle w:val="5"/>
        <w:ind w:firstLine="560"/>
        <w:rPr>
          <w:color w:val="000000" w:themeColor="text1"/>
          <w14:textFill>
            <w14:solidFill>
              <w14:schemeClr w14:val="tx1"/>
            </w14:solidFill>
          </w14:textFill>
        </w:rPr>
      </w:pPr>
      <w:bookmarkStart w:id="383" w:name="_Toc259450481"/>
      <w:r>
        <w:rPr>
          <w:rFonts w:hint="eastAsia"/>
          <w:color w:val="000000" w:themeColor="text1"/>
          <w14:textFill>
            <w14:solidFill>
              <w14:schemeClr w14:val="tx1"/>
            </w14:solidFill>
          </w14:textFill>
        </w:rPr>
        <w:t>温、湿度的影响</w:t>
      </w:r>
      <w:bookmarkEnd w:id="383"/>
    </w:p>
    <w:p w14:paraId="44A0C130">
      <w:pPr>
        <w:rPr>
          <w:color w:val="000000" w:themeColor="text1"/>
          <w14:textFill>
            <w14:solidFill>
              <w14:schemeClr w14:val="tx1"/>
            </w14:solidFill>
          </w14:textFill>
        </w:rPr>
      </w:pPr>
      <w:bookmarkStart w:id="384" w:name="_Toc259450482"/>
      <w:r>
        <w:rPr>
          <w:rFonts w:hint="eastAsia"/>
          <w:color w:val="000000" w:themeColor="text1"/>
          <w14:textFill>
            <w14:solidFill>
              <w14:schemeClr w14:val="tx1"/>
            </w14:solidFill>
          </w14:textFill>
        </w:rPr>
        <w:t>该站位于</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2022</w:t>
      </w:r>
      <w:r>
        <w:rPr>
          <w:rFonts w:hint="eastAsia"/>
          <w:color w:val="000000" w:themeColor="text1"/>
          <w14:textFill>
            <w14:solidFill>
              <w14:schemeClr w14:val="tx1"/>
            </w14:solidFill>
          </w14:textFill>
        </w:rPr>
        <w:t>年平均气温</w:t>
      </w:r>
      <w:r>
        <w:rPr>
          <w:color w:val="000000" w:themeColor="text1"/>
          <w14:textFill>
            <w14:solidFill>
              <w14:schemeClr w14:val="tx1"/>
            </w14:solidFill>
          </w14:textFill>
        </w:rPr>
        <w:t>18.</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℃，极端最低温度为</w:t>
      </w:r>
      <w:r>
        <w:rPr>
          <w:rFonts w:hint="eastAsia"/>
          <w:color w:val="000000" w:themeColor="text1"/>
          <w:lang w:val="en-US" w:eastAsia="zh-CN"/>
          <w14:textFill>
            <w14:solidFill>
              <w14:schemeClr w14:val="tx1"/>
            </w14:solidFill>
          </w14:textFill>
        </w:rPr>
        <w:t>1.7</w:t>
      </w:r>
      <w:r>
        <w:rPr>
          <w:rFonts w:hint="eastAsia"/>
          <w:color w:val="000000" w:themeColor="text1"/>
          <w14:textFill>
            <w14:solidFill>
              <w14:schemeClr w14:val="tx1"/>
            </w14:solidFill>
          </w14:textFill>
        </w:rPr>
        <w:t>℃，极端最高温度为</w:t>
      </w:r>
      <w:r>
        <w:rPr>
          <w:color w:val="000000" w:themeColor="text1"/>
          <w14:textFill>
            <w14:solidFill>
              <w14:schemeClr w14:val="tx1"/>
            </w14:solidFill>
          </w14:textFill>
        </w:rPr>
        <w:t>33.</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℃。根据建设项目所在地的温、湿度等方面的数据，该站在运营期间，均要在每年天干物燥的旱季、高温季特别加强对火灾、爆炸、雷击、静电、毒性等危险、危害因素的防范，加强安全检查、安全管理和教育。</w:t>
      </w:r>
    </w:p>
    <w:p w14:paraId="379E8A24">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降水和排涝的影响</w:t>
      </w:r>
      <w:bookmarkEnd w:id="384"/>
    </w:p>
    <w:p w14:paraId="17148D6C">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罩棚若未设置足够的排水设施或排水管堵塞，将可能有大量雨水聚集在罩棚顶部，导致罩棚垮塌，造成群死群伤的事故后果。</w:t>
      </w:r>
    </w:p>
    <w:p w14:paraId="4E9611D3">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为网架结构，若由于网架选用材质不合格、制作安装有缺陷、使用过程中不按设计要求定期进行全面防腐维修，可能出现断裂垮塌，造成群死群伤的严重后果。只要定期对罩棚进行维修保养，对加油站的影响是可控的。</w:t>
      </w:r>
    </w:p>
    <w:p w14:paraId="74CBC474">
      <w:pPr>
        <w:rPr>
          <w:color w:val="000000" w:themeColor="text1"/>
          <w14:textFill>
            <w14:solidFill>
              <w14:schemeClr w14:val="tx1"/>
            </w14:solidFill>
          </w14:textFill>
        </w:rPr>
      </w:pPr>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14:paraId="20830183">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该加油站虽然场地平坦，但在汛期应特别加强对雷击、静电、水涝、垮塌、漏油等危险、危害因素的防范，加强安全检查、安全管理和教育。</w:t>
      </w:r>
    </w:p>
    <w:p w14:paraId="693CE88A">
      <w:pPr>
        <w:pStyle w:val="5"/>
        <w:ind w:firstLine="560"/>
        <w:rPr>
          <w:color w:val="000000" w:themeColor="text1"/>
          <w14:textFill>
            <w14:solidFill>
              <w14:schemeClr w14:val="tx1"/>
            </w14:solidFill>
          </w14:textFill>
        </w:rPr>
      </w:pPr>
      <w:bookmarkStart w:id="385" w:name="_Toc259450483"/>
      <w:r>
        <w:rPr>
          <w:rFonts w:hint="eastAsia"/>
          <w:color w:val="000000" w:themeColor="text1"/>
          <w14:textFill>
            <w14:solidFill>
              <w14:schemeClr w14:val="tx1"/>
            </w14:solidFill>
          </w14:textFill>
        </w:rPr>
        <w:t>地震的影响</w:t>
      </w:r>
      <w:bookmarkEnd w:id="385"/>
    </w:p>
    <w:p w14:paraId="6B900493">
      <w:pPr>
        <w:rPr>
          <w:color w:val="000000" w:themeColor="text1"/>
          <w14:textFill>
            <w14:solidFill>
              <w14:schemeClr w14:val="tx1"/>
            </w14:solidFill>
          </w14:textFill>
        </w:rPr>
      </w:pPr>
      <w:bookmarkStart w:id="386" w:name="_Hlk122534177"/>
      <w:r>
        <w:rPr>
          <w:color w:val="000000" w:themeColor="text1"/>
          <w14:textFill>
            <w14:solidFill>
              <w14:schemeClr w14:val="tx1"/>
            </w14:solidFill>
          </w14:textFill>
        </w:rPr>
        <w:t>按照《</w:t>
      </w:r>
      <w:r>
        <w:rPr>
          <w:rFonts w:hint="eastAsia"/>
          <w:color w:val="000000" w:themeColor="text1"/>
          <w:lang w:eastAsia="zh-CN"/>
          <w14:textFill>
            <w14:solidFill>
              <w14:schemeClr w14:val="tx1"/>
            </w14:solidFill>
          </w14:textFill>
        </w:rPr>
        <w:t>建筑抗震设计规范（2024年版）</w:t>
      </w:r>
      <w:r>
        <w:rPr>
          <w:color w:val="000000" w:themeColor="text1"/>
          <w14:textFill>
            <w14:solidFill>
              <w14:schemeClr w14:val="tx1"/>
            </w14:solidFill>
          </w14:textFill>
        </w:rPr>
        <w:t>》（GB50011-20</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）的划分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抗震设防烈度为</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度，分组为第三组，设计基本地震加速度值为0.</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g。</w:t>
      </w:r>
    </w:p>
    <w:bookmarkEnd w:id="386"/>
    <w:p w14:paraId="05FC0298">
      <w:pPr>
        <w:pStyle w:val="5"/>
        <w:ind w:firstLine="560"/>
        <w:rPr>
          <w:color w:val="000000" w:themeColor="text1"/>
          <w14:textFill>
            <w14:solidFill>
              <w14:schemeClr w14:val="tx1"/>
            </w14:solidFill>
          </w14:textFill>
        </w:rPr>
      </w:pPr>
      <w:bookmarkStart w:id="387" w:name="_Toc259450484"/>
      <w:r>
        <w:rPr>
          <w:rFonts w:hint="eastAsia"/>
          <w:color w:val="000000" w:themeColor="text1"/>
          <w14:textFill>
            <w14:solidFill>
              <w14:schemeClr w14:val="tx1"/>
            </w14:solidFill>
          </w14:textFill>
        </w:rPr>
        <w:t>地质条件的影响</w:t>
      </w:r>
      <w:bookmarkEnd w:id="387"/>
    </w:p>
    <w:p w14:paraId="289EA324">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从现场踏勘情况看，场地稳定，未见滑坡、断裂、围墙开裂等不良地质现象。</w:t>
      </w:r>
    </w:p>
    <w:p w14:paraId="05273633">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地下水的影响</w:t>
      </w:r>
    </w:p>
    <w:p w14:paraId="555819A9">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从现场了解情况来看，该加油站场地未见明显的地下水，已对油罐采取了抗浮措施，油罐区设置了观察井，并设置了排水设施。</w:t>
      </w:r>
    </w:p>
    <w:bookmarkEnd w:id="378"/>
    <w:p w14:paraId="2CA1E1E3">
      <w:pPr>
        <w:pStyle w:val="3"/>
        <w:rPr>
          <w:color w:val="000000" w:themeColor="text1"/>
          <w14:textFill>
            <w14:solidFill>
              <w14:schemeClr w14:val="tx1"/>
            </w14:solidFill>
          </w14:textFill>
        </w:rPr>
      </w:pPr>
      <w:bookmarkStart w:id="388" w:name="_Toc195176762"/>
      <w:bookmarkStart w:id="389" w:name="_Toc32686"/>
      <w:r>
        <w:rPr>
          <w:rFonts w:hint="eastAsia"/>
          <w:color w:val="000000" w:themeColor="text1"/>
          <w14:textFill>
            <w14:solidFill>
              <w14:schemeClr w14:val="tx1"/>
            </w14:solidFill>
          </w14:textFill>
        </w:rPr>
        <w:t>平面布置分析</w:t>
      </w:r>
      <w:bookmarkEnd w:id="388"/>
      <w:r>
        <w:rPr>
          <w:rFonts w:hint="eastAsia"/>
          <w:color w:val="000000" w:themeColor="text1"/>
          <w14:textFill>
            <w14:solidFill>
              <w14:schemeClr w14:val="tx1"/>
            </w14:solidFill>
          </w14:textFill>
        </w:rPr>
        <w:t>评价</w:t>
      </w:r>
      <w:bookmarkEnd w:id="389"/>
    </w:p>
    <w:p w14:paraId="6796553D">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依据《汽车加油加气加氢站技术标准》（GB50156-2021）编制安全检查表对平面布置进行分析评价，检查结果见表6-2。</w:t>
      </w:r>
    </w:p>
    <w:p w14:paraId="5BFBEC49">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表6-2  平面布置安全检查表</w:t>
      </w:r>
    </w:p>
    <w:tbl>
      <w:tblPr>
        <w:tblStyle w:val="33"/>
        <w:tblW w:w="893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51"/>
        <w:gridCol w:w="1502"/>
        <w:gridCol w:w="2203"/>
        <w:gridCol w:w="782"/>
      </w:tblGrid>
      <w:tr w14:paraId="2518F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4451" w:type="dxa"/>
            <w:vAlign w:val="center"/>
          </w:tcPr>
          <w:p w14:paraId="4DDA821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02" w:type="dxa"/>
            <w:vAlign w:val="center"/>
          </w:tcPr>
          <w:p w14:paraId="1D34794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03" w:type="dxa"/>
            <w:vAlign w:val="center"/>
          </w:tcPr>
          <w:p w14:paraId="2247036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82" w:type="dxa"/>
            <w:vAlign w:val="center"/>
          </w:tcPr>
          <w:p w14:paraId="1AD396C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14:paraId="2CEEB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2769A2C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车辆入口和出口应分开设置。</w:t>
            </w:r>
          </w:p>
        </w:tc>
        <w:tc>
          <w:tcPr>
            <w:tcW w:w="1502" w:type="dxa"/>
            <w:vAlign w:val="center"/>
          </w:tcPr>
          <w:p w14:paraId="5DE3021D">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2021第5.0.1条</w:t>
            </w:r>
          </w:p>
        </w:tc>
        <w:tc>
          <w:tcPr>
            <w:tcW w:w="2203" w:type="dxa"/>
            <w:vAlign w:val="center"/>
          </w:tcPr>
          <w:p w14:paraId="276A429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加油站车辆出、入口分开设置。</w:t>
            </w:r>
          </w:p>
        </w:tc>
        <w:tc>
          <w:tcPr>
            <w:tcW w:w="782" w:type="dxa"/>
            <w:vAlign w:val="center"/>
          </w:tcPr>
          <w:p w14:paraId="2DB83EB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E1B65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6E8BF08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站区内停车位和道路应符合下列规定：（</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）站内车道或停车位宽度应按车辆类型确定。加油站的车道或停车位，单车道或单车停车位宽度不应小于4</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，双车道或双车停车位不应小于</w:t>
            </w:r>
            <w:r>
              <w:rPr>
                <w:color w:val="000000" w:themeColor="text1"/>
                <w14:textFill>
                  <w14:solidFill>
                    <w14:schemeClr w14:val="tx1"/>
                  </w14:solidFill>
                </w14:textFill>
              </w:rPr>
              <w:t>6m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）站内的道路转弯半径按行驶车型确定，且不宜小于</w:t>
            </w:r>
            <w:r>
              <w:rPr>
                <w:color w:val="000000" w:themeColor="text1"/>
                <w14:textFill>
                  <w14:solidFill>
                    <w14:schemeClr w14:val="tx1"/>
                  </w14:solidFill>
                </w14:textFill>
              </w:rPr>
              <w:t>9m</w:t>
            </w:r>
            <w:r>
              <w:rPr>
                <w:rFonts w:hint="eastAsia"/>
                <w:color w:val="000000" w:themeColor="text1"/>
                <w14:textFill>
                  <w14:solidFill>
                    <w14:schemeClr w14:val="tx1"/>
                  </w14:solidFill>
                </w14:textFill>
              </w:rPr>
              <w:t>。（3）站内停车位应为平坡，道路坡度不应大于8％，且宜坡向站外。</w:t>
            </w:r>
          </w:p>
          <w:p w14:paraId="4C9441D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（4）作业区内的停车场和道路路面不应采用沥青路面。</w:t>
            </w:r>
          </w:p>
        </w:tc>
        <w:tc>
          <w:tcPr>
            <w:tcW w:w="1502" w:type="dxa"/>
            <w:vAlign w:val="center"/>
          </w:tcPr>
          <w:p w14:paraId="459952CE">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2021第5.0.2条</w:t>
            </w:r>
          </w:p>
        </w:tc>
        <w:tc>
          <w:tcPr>
            <w:tcW w:w="2203" w:type="dxa"/>
            <w:vAlign w:val="center"/>
          </w:tcPr>
          <w:p w14:paraId="0B4DC20C">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车道宽度</w:t>
            </w:r>
            <w:r>
              <w:rPr>
                <w:rFonts w:hint="eastAsia"/>
                <w:color w:val="000000" w:themeColor="text1"/>
                <w14:textFill>
                  <w14:solidFill>
                    <w14:schemeClr w14:val="tx1"/>
                  </w14:solidFill>
                </w14:textFill>
              </w:rPr>
              <w:t>满足标准要求，站内地面全部采用混凝土不发火花地面。</w:t>
            </w:r>
          </w:p>
        </w:tc>
        <w:tc>
          <w:tcPr>
            <w:tcW w:w="782" w:type="dxa"/>
            <w:vAlign w:val="center"/>
          </w:tcPr>
          <w:p w14:paraId="208A9A3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FB9D5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27F2167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3.加油作业区内，不得有“明火地点”或“散发火花地点”。</w:t>
            </w:r>
          </w:p>
        </w:tc>
        <w:tc>
          <w:tcPr>
            <w:tcW w:w="1502" w:type="dxa"/>
            <w:vAlign w:val="center"/>
          </w:tcPr>
          <w:p w14:paraId="79A74A14">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2021第5.0.5条</w:t>
            </w:r>
          </w:p>
        </w:tc>
        <w:tc>
          <w:tcPr>
            <w:tcW w:w="2203" w:type="dxa"/>
            <w:vAlign w:val="center"/>
          </w:tcPr>
          <w:p w14:paraId="07B8549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加油作业区内无“明火地点”或“散发火花地点”。</w:t>
            </w:r>
          </w:p>
        </w:tc>
        <w:tc>
          <w:tcPr>
            <w:tcW w:w="782" w:type="dxa"/>
            <w:vAlign w:val="center"/>
          </w:tcPr>
          <w:p w14:paraId="2A880D8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02ED7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431AC4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4.加油站的变配电间或室外变压器应布置在爆炸危险区域之外，变配电间的起算点应为门窗等洞口。</w:t>
            </w:r>
          </w:p>
        </w:tc>
        <w:tc>
          <w:tcPr>
            <w:tcW w:w="1502" w:type="dxa"/>
            <w:vAlign w:val="center"/>
          </w:tcPr>
          <w:p w14:paraId="6EBDDA47">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2021第5.0.8条</w:t>
            </w:r>
          </w:p>
        </w:tc>
        <w:tc>
          <w:tcPr>
            <w:tcW w:w="2203" w:type="dxa"/>
            <w:vAlign w:val="center"/>
          </w:tcPr>
          <w:p w14:paraId="10D3ECE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站内配电室布置</w:t>
            </w:r>
            <w:r>
              <w:rPr>
                <w:rFonts w:hint="eastAsia"/>
                <w:color w:val="000000" w:themeColor="text1"/>
                <w:lang w:val="en-US" w:eastAsia="zh-CN"/>
                <w14:textFill>
                  <w14:solidFill>
                    <w14:schemeClr w14:val="tx1"/>
                  </w14:solidFill>
                </w14:textFill>
              </w:rPr>
              <w:t>在</w:t>
            </w:r>
            <w:r>
              <w:rPr>
                <w:rFonts w:hint="eastAsia"/>
                <w:color w:val="000000" w:themeColor="text1"/>
                <w14:textFill>
                  <w14:solidFill>
                    <w14:schemeClr w14:val="tx1"/>
                  </w14:solidFill>
                </w14:textFill>
              </w:rPr>
              <w:t>加油作业区之外。</w:t>
            </w:r>
          </w:p>
        </w:tc>
        <w:tc>
          <w:tcPr>
            <w:tcW w:w="782" w:type="dxa"/>
            <w:vAlign w:val="center"/>
          </w:tcPr>
          <w:p w14:paraId="3DBEE76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1127D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2DBF925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5.站房不应布置在爆炸危险区域。站房部分位于作业区内时，建筑面积等应符合本标准第14.2.10条的规定。</w:t>
            </w:r>
          </w:p>
        </w:tc>
        <w:tc>
          <w:tcPr>
            <w:tcW w:w="1502" w:type="dxa"/>
            <w:vAlign w:val="center"/>
          </w:tcPr>
          <w:p w14:paraId="0838543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1567EBA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第5.0.9条</w:t>
            </w:r>
          </w:p>
        </w:tc>
        <w:tc>
          <w:tcPr>
            <w:tcW w:w="2203" w:type="dxa"/>
            <w:vAlign w:val="center"/>
          </w:tcPr>
          <w:p w14:paraId="1BEF7803">
            <w:pPr>
              <w:pStyle w:val="77"/>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站房</w:t>
            </w:r>
            <w:r>
              <w:rPr>
                <w:rFonts w:hint="eastAsia"/>
                <w:color w:val="000000" w:themeColor="text1"/>
                <w:lang w:val="en-US" w:eastAsia="zh-CN"/>
                <w14:textFill>
                  <w14:solidFill>
                    <w14:schemeClr w14:val="tx1"/>
                  </w14:solidFill>
                </w14:textFill>
              </w:rPr>
              <w:t>未</w:t>
            </w:r>
            <w:r>
              <w:rPr>
                <w:rFonts w:hint="eastAsia"/>
                <w:color w:val="000000" w:themeColor="text1"/>
                <w14:textFill>
                  <w14:solidFill>
                    <w14:schemeClr w14:val="tx1"/>
                  </w14:solidFill>
                </w14:textFill>
              </w:rPr>
              <w:t>布置在爆炸危险区域</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站房建筑面积等符合本标准第14.2.10条的规定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站房内未设置明火。</w:t>
            </w:r>
          </w:p>
        </w:tc>
        <w:tc>
          <w:tcPr>
            <w:tcW w:w="782" w:type="dxa"/>
            <w:vAlign w:val="center"/>
          </w:tcPr>
          <w:p w14:paraId="162D42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53B0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1D76C86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6.加油站内的爆炸危险区域，不应超出站区围墙和可用边界线。</w:t>
            </w:r>
          </w:p>
        </w:tc>
        <w:tc>
          <w:tcPr>
            <w:tcW w:w="1502" w:type="dxa"/>
            <w:vAlign w:val="center"/>
          </w:tcPr>
          <w:p w14:paraId="44829865">
            <w:pPr>
              <w:pStyle w:val="77"/>
              <w:rPr>
                <w:color w:val="000000" w:themeColor="text1"/>
                <w14:textFill>
                  <w14:solidFill>
                    <w14:schemeClr w14:val="tx1"/>
                  </w14:solidFill>
                </w14:textFill>
              </w:rPr>
            </w:pPr>
            <w:r>
              <w:rPr>
                <w:color w:val="000000" w:themeColor="text1"/>
                <w14:textFill>
                  <w14:solidFill>
                    <w14:schemeClr w14:val="tx1"/>
                  </w14:solidFill>
                </w14:textFill>
              </w:rPr>
              <w:t>GB50156-2</w:t>
            </w:r>
            <w:r>
              <w:rPr>
                <w:rFonts w:hint="eastAsia"/>
                <w:color w:val="000000" w:themeColor="text1"/>
                <w14:textFill>
                  <w14:solidFill>
                    <w14:schemeClr w14:val="tx1"/>
                  </w14:solidFill>
                </w14:textFill>
              </w:rPr>
              <w:t>021第5.0.11条</w:t>
            </w:r>
          </w:p>
        </w:tc>
        <w:tc>
          <w:tcPr>
            <w:tcW w:w="2203" w:type="dxa"/>
            <w:vAlign w:val="center"/>
          </w:tcPr>
          <w:p w14:paraId="214329C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加油站内的爆炸危险区域，未超出站区围墙和可用边界线。</w:t>
            </w:r>
          </w:p>
        </w:tc>
        <w:tc>
          <w:tcPr>
            <w:tcW w:w="782" w:type="dxa"/>
            <w:vAlign w:val="center"/>
          </w:tcPr>
          <w:p w14:paraId="6F5B4B5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02AD2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1ECCFAF2">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加油站内设施之间的防火距离不应小于</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13-1和表5.0.13-2的规定。</w:t>
            </w:r>
          </w:p>
        </w:tc>
        <w:tc>
          <w:tcPr>
            <w:tcW w:w="1502" w:type="dxa"/>
            <w:vAlign w:val="center"/>
          </w:tcPr>
          <w:p w14:paraId="4E2C7451">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2021第5.0.13条</w:t>
            </w:r>
          </w:p>
        </w:tc>
        <w:tc>
          <w:tcPr>
            <w:tcW w:w="2203" w:type="dxa"/>
            <w:vAlign w:val="center"/>
          </w:tcPr>
          <w:p w14:paraId="78A47EC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加油站内设施之间防火距离符合规范要求。</w:t>
            </w:r>
          </w:p>
        </w:tc>
        <w:tc>
          <w:tcPr>
            <w:tcW w:w="782" w:type="dxa"/>
            <w:vAlign w:val="center"/>
          </w:tcPr>
          <w:p w14:paraId="0813E8E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EA122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14:paraId="40E700B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8.本规范表</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13-1和表5.0.13-2中，油品卸车点与站区围墙的防火间距还应符合本规范第5.0.11条的规定，设备或建（构）筑物的计算间距起止点应符合本规范附录A的规定。</w:t>
            </w:r>
          </w:p>
        </w:tc>
        <w:tc>
          <w:tcPr>
            <w:tcW w:w="1502" w:type="dxa"/>
            <w:vAlign w:val="center"/>
          </w:tcPr>
          <w:p w14:paraId="5DB33751">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2021第5.0.15条</w:t>
            </w:r>
          </w:p>
        </w:tc>
        <w:tc>
          <w:tcPr>
            <w:tcW w:w="2203" w:type="dxa"/>
            <w:vAlign w:val="center"/>
          </w:tcPr>
          <w:p w14:paraId="16821EC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油品卸车点与站区围墙的防火间距</w:t>
            </w:r>
            <w:r>
              <w:rPr>
                <w:rFonts w:hint="eastAsia"/>
                <w:color w:val="000000" w:themeColor="text1"/>
                <w:lang w:val="en-US" w:eastAsia="zh-CN"/>
                <w14:textFill>
                  <w14:solidFill>
                    <w14:schemeClr w14:val="tx1"/>
                  </w14:solidFill>
                </w14:textFill>
              </w:rPr>
              <w:t>未7.5m，符合要求。</w:t>
            </w:r>
          </w:p>
        </w:tc>
        <w:tc>
          <w:tcPr>
            <w:tcW w:w="782" w:type="dxa"/>
            <w:vAlign w:val="center"/>
          </w:tcPr>
          <w:p w14:paraId="48EF706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3B2F561D">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平面布置检查结果：</w:t>
      </w:r>
    </w:p>
    <w:p w14:paraId="5DD93F5E">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根据安全检查表进行分析，</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p>
    <w:p w14:paraId="44E21B1B">
      <w:pPr>
        <w:pStyle w:val="3"/>
        <w:rPr>
          <w:color w:val="000000" w:themeColor="text1"/>
          <w14:textFill>
            <w14:solidFill>
              <w14:schemeClr w14:val="tx1"/>
            </w14:solidFill>
          </w14:textFill>
        </w:rPr>
      </w:pPr>
      <w:bookmarkStart w:id="390" w:name="_Toc195176763"/>
      <w:bookmarkStart w:id="391" w:name="_Toc21219"/>
      <w:r>
        <w:rPr>
          <w:rFonts w:hint="eastAsia"/>
          <w:color w:val="000000" w:themeColor="text1"/>
          <w14:textFill>
            <w14:solidFill>
              <w14:schemeClr w14:val="tx1"/>
            </w14:solidFill>
          </w14:textFill>
        </w:rPr>
        <w:t>工艺及设施分析</w:t>
      </w:r>
      <w:bookmarkEnd w:id="390"/>
      <w:r>
        <w:rPr>
          <w:rFonts w:hint="eastAsia"/>
          <w:color w:val="000000" w:themeColor="text1"/>
          <w14:textFill>
            <w14:solidFill>
              <w14:schemeClr w14:val="tx1"/>
            </w14:solidFill>
          </w14:textFill>
        </w:rPr>
        <w:t>评价</w:t>
      </w:r>
      <w:bookmarkEnd w:id="391"/>
    </w:p>
    <w:p w14:paraId="3095C6AB">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依据《汽车加油加气加氢站技术标准》（GB50156-2021）编制安全检查表对工艺及设施进行分析评价，检查结果见表6-3。</w:t>
      </w:r>
    </w:p>
    <w:p w14:paraId="0C248734">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表6-3  加油工艺及设施安全检查表</w:t>
      </w:r>
    </w:p>
    <w:tbl>
      <w:tblPr>
        <w:tblStyle w:val="33"/>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1"/>
        <w:gridCol w:w="1701"/>
        <w:gridCol w:w="2295"/>
        <w:gridCol w:w="833"/>
      </w:tblGrid>
      <w:tr w14:paraId="29CE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01" w:type="dxa"/>
            <w:vAlign w:val="center"/>
          </w:tcPr>
          <w:p w14:paraId="15F111AB">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701" w:type="dxa"/>
            <w:vAlign w:val="center"/>
          </w:tcPr>
          <w:p w14:paraId="30DDD585">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95" w:type="dxa"/>
            <w:vAlign w:val="center"/>
          </w:tcPr>
          <w:p w14:paraId="70F1EE30">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检查对象及结果</w:t>
            </w:r>
          </w:p>
        </w:tc>
        <w:tc>
          <w:tcPr>
            <w:tcW w:w="833" w:type="dxa"/>
            <w:vAlign w:val="center"/>
          </w:tcPr>
          <w:p w14:paraId="42C51F59">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14:paraId="661D0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14:paraId="3FBF54D1">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油罐</w:t>
            </w:r>
          </w:p>
        </w:tc>
      </w:tr>
      <w:tr w14:paraId="5A5D2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604EC98E">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1加油站的汽油罐和柴油罐应埋地设置，严禁设在室内或地下室内。</w:t>
            </w:r>
          </w:p>
        </w:tc>
        <w:tc>
          <w:tcPr>
            <w:tcW w:w="1701" w:type="dxa"/>
            <w:vAlign w:val="center"/>
          </w:tcPr>
          <w:p w14:paraId="5FE30A1C">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2021第6.1.1条</w:t>
            </w:r>
          </w:p>
        </w:tc>
        <w:tc>
          <w:tcPr>
            <w:tcW w:w="2295" w:type="dxa"/>
            <w:vAlign w:val="center"/>
          </w:tcPr>
          <w:p w14:paraId="3447952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汽油罐和柴油罐埋地设置，未设在室内或地下室内。</w:t>
            </w:r>
          </w:p>
        </w:tc>
        <w:tc>
          <w:tcPr>
            <w:tcW w:w="833" w:type="dxa"/>
            <w:vAlign w:val="center"/>
          </w:tcPr>
          <w:p w14:paraId="025A2B9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DBA0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D104903">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2汽车加油站的储油罐应采用卧式油罐。</w:t>
            </w:r>
          </w:p>
        </w:tc>
        <w:tc>
          <w:tcPr>
            <w:tcW w:w="1701" w:type="dxa"/>
            <w:vAlign w:val="center"/>
          </w:tcPr>
          <w:p w14:paraId="4478CD5D">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2021第6.1.2条</w:t>
            </w:r>
          </w:p>
        </w:tc>
        <w:tc>
          <w:tcPr>
            <w:tcW w:w="2295" w:type="dxa"/>
            <w:vAlign w:val="center"/>
          </w:tcPr>
          <w:p w14:paraId="64308AB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油罐为卧式油罐。</w:t>
            </w:r>
          </w:p>
        </w:tc>
        <w:tc>
          <w:tcPr>
            <w:tcW w:w="833" w:type="dxa"/>
            <w:vAlign w:val="center"/>
          </w:tcPr>
          <w:p w14:paraId="40364D2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984D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32BB1A6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701" w:type="dxa"/>
            <w:vAlign w:val="center"/>
          </w:tcPr>
          <w:p w14:paraId="333C4AA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60BAECC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第6.1.3条</w:t>
            </w:r>
          </w:p>
        </w:tc>
        <w:tc>
          <w:tcPr>
            <w:tcW w:w="2295" w:type="dxa"/>
            <w:vAlign w:val="center"/>
          </w:tcPr>
          <w:p w14:paraId="4073392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加油站采用了卧式SF双层油罐。</w:t>
            </w:r>
          </w:p>
        </w:tc>
        <w:tc>
          <w:tcPr>
            <w:tcW w:w="833" w:type="dxa"/>
            <w:vAlign w:val="center"/>
          </w:tcPr>
          <w:p w14:paraId="3895560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EBD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5430A0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1.4油罐应采用钢制人孔盖。</w:t>
            </w:r>
          </w:p>
        </w:tc>
        <w:tc>
          <w:tcPr>
            <w:tcW w:w="1701" w:type="dxa"/>
            <w:vAlign w:val="center"/>
          </w:tcPr>
          <w:p w14:paraId="661C7B07">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第6.1.11条</w:t>
            </w:r>
          </w:p>
        </w:tc>
        <w:tc>
          <w:tcPr>
            <w:tcW w:w="2295" w:type="dxa"/>
            <w:vAlign w:val="center"/>
          </w:tcPr>
          <w:p w14:paraId="3FB0465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油罐采用钢制人孔盖。</w:t>
            </w:r>
          </w:p>
        </w:tc>
        <w:tc>
          <w:tcPr>
            <w:tcW w:w="833" w:type="dxa"/>
            <w:vAlign w:val="center"/>
          </w:tcPr>
          <w:p w14:paraId="0EBF184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9AAE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491C32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油罐设在非车行道下面时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罐顶的覆土厚度不应小于0.5m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设在车行道下面时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罐顶低于路面不宜小于0.9m。钢制油罐的周围应回填中性沙或细土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其厚度不应小于0.3m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外层为玻璃纤维增强塑料材料的油罐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其回填料应符合产品说明书的要求。</w:t>
            </w:r>
          </w:p>
        </w:tc>
        <w:tc>
          <w:tcPr>
            <w:tcW w:w="1701" w:type="dxa"/>
            <w:vAlign w:val="center"/>
          </w:tcPr>
          <w:p w14:paraId="1F3627E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第6.1.1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条</w:t>
            </w:r>
          </w:p>
        </w:tc>
        <w:tc>
          <w:tcPr>
            <w:tcW w:w="2295" w:type="dxa"/>
            <w:vAlign w:val="center"/>
          </w:tcPr>
          <w:p w14:paraId="0D1185D2">
            <w:pPr>
              <w:pStyle w:val="77"/>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罐顶的覆土厚度</w:t>
            </w:r>
            <w:r>
              <w:rPr>
                <w:rFonts w:hint="eastAsia"/>
                <w:color w:val="000000" w:themeColor="text1"/>
                <w:lang w:val="en-US" w:eastAsia="zh-CN"/>
                <w14:textFill>
                  <w14:solidFill>
                    <w14:schemeClr w14:val="tx1"/>
                  </w14:solidFill>
                </w14:textFill>
              </w:rPr>
              <w:t>大于</w:t>
            </w:r>
            <w:r>
              <w:rPr>
                <w:color w:val="000000" w:themeColor="text1"/>
                <w14:textFill>
                  <w14:solidFill>
                    <w14:schemeClr w14:val="tx1"/>
                  </w14:solidFill>
                </w14:textFill>
              </w:rPr>
              <w:t>0.5m</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油罐的周围回填了中性沙，厚度大于0.3m。</w:t>
            </w:r>
          </w:p>
        </w:tc>
        <w:tc>
          <w:tcPr>
            <w:tcW w:w="833" w:type="dxa"/>
            <w:vAlign w:val="center"/>
          </w:tcPr>
          <w:p w14:paraId="7926BE1B">
            <w:pPr>
              <w:pStyle w:val="77"/>
              <w:rPr>
                <w:color w:val="000000" w:themeColor="text1"/>
                <w14:textFill>
                  <w14:solidFill>
                    <w14:schemeClr w14:val="tx1"/>
                  </w14:solidFill>
                </w14:textFill>
              </w:rPr>
            </w:pPr>
            <w:r>
              <w:rPr>
                <w:color w:val="000000" w:themeColor="text1"/>
                <w14:textFill>
                  <w14:solidFill>
                    <w14:schemeClr w14:val="tx1"/>
                  </w14:solidFill>
                </w14:textFill>
              </w:rPr>
              <w:t>符合</w:t>
            </w:r>
          </w:p>
        </w:tc>
      </w:tr>
      <w:tr w14:paraId="1FF7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2D06F4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1.6当埋地油罐受地下水或雨水作用有上浮的可能时，应采取防止油罐上浮的措施。</w:t>
            </w:r>
          </w:p>
        </w:tc>
        <w:tc>
          <w:tcPr>
            <w:tcW w:w="1701" w:type="dxa"/>
            <w:vAlign w:val="center"/>
          </w:tcPr>
          <w:p w14:paraId="64B84EDD">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第6.1.13条</w:t>
            </w:r>
          </w:p>
        </w:tc>
        <w:tc>
          <w:tcPr>
            <w:tcW w:w="2295" w:type="dxa"/>
          </w:tcPr>
          <w:p w14:paraId="082AD7B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加油站已采取防止油罐上浮的措施。</w:t>
            </w:r>
          </w:p>
        </w:tc>
        <w:tc>
          <w:tcPr>
            <w:tcW w:w="833" w:type="dxa"/>
            <w:vAlign w:val="center"/>
          </w:tcPr>
          <w:p w14:paraId="373A8F4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0AEA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57B0662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1.7埋地油罐的人孔应设操作井，设在行车道下面的人孔井应采用加油站车行道下专用的密闭井盖和井座。</w:t>
            </w:r>
          </w:p>
        </w:tc>
        <w:tc>
          <w:tcPr>
            <w:tcW w:w="1701" w:type="dxa"/>
            <w:vAlign w:val="center"/>
          </w:tcPr>
          <w:p w14:paraId="661EEC5B">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第6.1.14条</w:t>
            </w:r>
          </w:p>
        </w:tc>
        <w:tc>
          <w:tcPr>
            <w:tcW w:w="2295" w:type="dxa"/>
            <w:vAlign w:val="center"/>
          </w:tcPr>
          <w:p w14:paraId="0A9B554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油罐的人孔设置有操作井。</w:t>
            </w:r>
          </w:p>
        </w:tc>
        <w:tc>
          <w:tcPr>
            <w:tcW w:w="833" w:type="dxa"/>
            <w:vAlign w:val="center"/>
          </w:tcPr>
          <w:p w14:paraId="1693FA3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4004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2B4501E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14:paraId="183B77C9">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第6.1.15条</w:t>
            </w:r>
          </w:p>
        </w:tc>
        <w:tc>
          <w:tcPr>
            <w:tcW w:w="2295" w:type="dxa"/>
            <w:vAlign w:val="center"/>
          </w:tcPr>
          <w:p w14:paraId="76AB2B2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加油站油罐已安装液位检测报警仪。</w:t>
            </w:r>
          </w:p>
        </w:tc>
        <w:tc>
          <w:tcPr>
            <w:tcW w:w="833" w:type="dxa"/>
            <w:vAlign w:val="center"/>
          </w:tcPr>
          <w:p w14:paraId="0EFA573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C5E9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6B7EC8F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14:paraId="43BFE8FB">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第6.1.16条</w:t>
            </w:r>
          </w:p>
        </w:tc>
        <w:tc>
          <w:tcPr>
            <w:tcW w:w="2295" w:type="dxa"/>
            <w:vAlign w:val="center"/>
          </w:tcPr>
          <w:p w14:paraId="7FED69F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加油站设有油气回收系统，油罐为SF双层罐，已安装液位检测报警仪和防渗漏检测报警装置。</w:t>
            </w:r>
          </w:p>
        </w:tc>
        <w:tc>
          <w:tcPr>
            <w:tcW w:w="833" w:type="dxa"/>
            <w:vAlign w:val="center"/>
          </w:tcPr>
          <w:p w14:paraId="6EB8825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E9EE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14:paraId="1AF8412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2.加油机</w:t>
            </w:r>
          </w:p>
        </w:tc>
      </w:tr>
      <w:tr w14:paraId="0D4E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429F088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2.1加油机不得设置在室内。</w:t>
            </w:r>
          </w:p>
        </w:tc>
        <w:tc>
          <w:tcPr>
            <w:tcW w:w="1701" w:type="dxa"/>
            <w:vAlign w:val="center"/>
          </w:tcPr>
          <w:p w14:paraId="292387C2">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第6.2.1条</w:t>
            </w:r>
          </w:p>
        </w:tc>
        <w:tc>
          <w:tcPr>
            <w:tcW w:w="2295" w:type="dxa"/>
            <w:vAlign w:val="center"/>
          </w:tcPr>
          <w:p w14:paraId="2BAFC54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加油机设置在室外罩棚下。</w:t>
            </w:r>
          </w:p>
        </w:tc>
        <w:tc>
          <w:tcPr>
            <w:tcW w:w="833" w:type="dxa"/>
            <w:vAlign w:val="center"/>
          </w:tcPr>
          <w:p w14:paraId="332D6FD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BDBB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20DEB95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2.2加油枪应采用自封式加油枪，汽油加油枪的流量不应大于50L/min。</w:t>
            </w:r>
          </w:p>
        </w:tc>
        <w:tc>
          <w:tcPr>
            <w:tcW w:w="1701" w:type="dxa"/>
            <w:vAlign w:val="center"/>
          </w:tcPr>
          <w:p w14:paraId="0E3A305E">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第6.2.2条</w:t>
            </w:r>
          </w:p>
        </w:tc>
        <w:tc>
          <w:tcPr>
            <w:tcW w:w="2295" w:type="dxa"/>
          </w:tcPr>
          <w:p w14:paraId="20E2831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加油枪采用自封式加油枪，汽油加油枪的流量不大于50L/min。</w:t>
            </w:r>
          </w:p>
        </w:tc>
        <w:tc>
          <w:tcPr>
            <w:tcW w:w="833" w:type="dxa"/>
            <w:vAlign w:val="center"/>
          </w:tcPr>
          <w:p w14:paraId="2BA36E1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5810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15DCF77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2.3加油软管上宜设安全拉断阀。</w:t>
            </w:r>
          </w:p>
        </w:tc>
        <w:tc>
          <w:tcPr>
            <w:tcW w:w="1701" w:type="dxa"/>
            <w:vAlign w:val="center"/>
          </w:tcPr>
          <w:p w14:paraId="2AC47FA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7ED6B39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第6.2.3条</w:t>
            </w:r>
          </w:p>
        </w:tc>
        <w:tc>
          <w:tcPr>
            <w:tcW w:w="2295" w:type="dxa"/>
          </w:tcPr>
          <w:p w14:paraId="6DC9365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加油软管上设置</w:t>
            </w:r>
            <w:r>
              <w:rPr>
                <w:rFonts w:hint="eastAsia"/>
                <w:color w:val="000000" w:themeColor="text1"/>
                <w:lang w:val="en-US" w:eastAsia="zh-CN"/>
                <w14:textFill>
                  <w14:solidFill>
                    <w14:schemeClr w14:val="tx1"/>
                  </w14:solidFill>
                </w14:textFill>
              </w:rPr>
              <w:t>了</w:t>
            </w:r>
            <w:r>
              <w:rPr>
                <w:rFonts w:hint="eastAsia"/>
                <w:color w:val="000000" w:themeColor="text1"/>
                <w14:textFill>
                  <w14:solidFill>
                    <w14:schemeClr w14:val="tx1"/>
                  </w14:solidFill>
                </w14:textFill>
              </w:rPr>
              <w:t>安全拉断阀。</w:t>
            </w:r>
          </w:p>
        </w:tc>
        <w:tc>
          <w:tcPr>
            <w:tcW w:w="833" w:type="dxa"/>
            <w:vAlign w:val="center"/>
          </w:tcPr>
          <w:p w14:paraId="4331BA3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6251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4FAB08A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2.4以正压（潜油泵）供油的加油机，其底部的供油管道上应设置剪切阀，当加油机被撞或者起火时，剪切阀应能自动关闭。</w:t>
            </w:r>
          </w:p>
        </w:tc>
        <w:tc>
          <w:tcPr>
            <w:tcW w:w="1701" w:type="dxa"/>
            <w:vAlign w:val="center"/>
          </w:tcPr>
          <w:p w14:paraId="14F41D5A">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第6.2.4条</w:t>
            </w:r>
          </w:p>
        </w:tc>
        <w:tc>
          <w:tcPr>
            <w:tcW w:w="2295" w:type="dxa"/>
          </w:tcPr>
          <w:p w14:paraId="708540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加油机采用潜油泵供油方式，其底部的供油管道上设置有剪切阀。</w:t>
            </w:r>
          </w:p>
        </w:tc>
        <w:tc>
          <w:tcPr>
            <w:tcW w:w="833" w:type="dxa"/>
            <w:vAlign w:val="center"/>
          </w:tcPr>
          <w:p w14:paraId="7B31B95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BE7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8B8F88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2.5采用一机多油品的加油机时，加油机上的放枪位应有各油品的文字标识，加油枪应有颜色标识。</w:t>
            </w:r>
          </w:p>
        </w:tc>
        <w:tc>
          <w:tcPr>
            <w:tcW w:w="1701" w:type="dxa"/>
            <w:vAlign w:val="center"/>
          </w:tcPr>
          <w:p w14:paraId="7D7CC283">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第6.2.5条</w:t>
            </w:r>
          </w:p>
        </w:tc>
        <w:tc>
          <w:tcPr>
            <w:tcW w:w="2295" w:type="dxa"/>
            <w:vAlign w:val="center"/>
          </w:tcPr>
          <w:p w14:paraId="628663E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加油枪上有颜色标识。</w:t>
            </w:r>
          </w:p>
        </w:tc>
        <w:tc>
          <w:tcPr>
            <w:tcW w:w="833" w:type="dxa"/>
            <w:vAlign w:val="center"/>
          </w:tcPr>
          <w:p w14:paraId="0F88A2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C792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14:paraId="1D13A1F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3.工艺管道系统</w:t>
            </w:r>
          </w:p>
        </w:tc>
      </w:tr>
      <w:tr w14:paraId="46D04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2BE51F0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汽油和柴油油罐车卸油必须采用密闭卸油方式。汽油油罐车应具有卸油油气回收系统。</w:t>
            </w:r>
          </w:p>
        </w:tc>
        <w:tc>
          <w:tcPr>
            <w:tcW w:w="1701" w:type="dxa"/>
            <w:vAlign w:val="center"/>
          </w:tcPr>
          <w:p w14:paraId="3387831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21D71A3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第6.3.1条</w:t>
            </w:r>
          </w:p>
        </w:tc>
        <w:tc>
          <w:tcPr>
            <w:tcW w:w="2295" w:type="dxa"/>
            <w:vAlign w:val="center"/>
          </w:tcPr>
          <w:p w14:paraId="59D2E88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采用密闭卸油方式，汽油油罐车</w:t>
            </w:r>
            <w:r>
              <w:rPr>
                <w:rFonts w:hint="eastAsia"/>
                <w:color w:val="000000" w:themeColor="text1"/>
                <w:lang w:val="en-US" w:eastAsia="zh-CN"/>
                <w14:textFill>
                  <w14:solidFill>
                    <w14:schemeClr w14:val="tx1"/>
                  </w14:solidFill>
                </w14:textFill>
              </w:rPr>
              <w:t>具</w:t>
            </w:r>
            <w:r>
              <w:rPr>
                <w:rFonts w:hint="eastAsia"/>
                <w:color w:val="000000" w:themeColor="text1"/>
                <w14:textFill>
                  <w14:solidFill>
                    <w14:schemeClr w14:val="tx1"/>
                  </w14:solidFill>
                </w14:textFill>
              </w:rPr>
              <w:t>有卸油油气回收系统。</w:t>
            </w:r>
          </w:p>
        </w:tc>
        <w:tc>
          <w:tcPr>
            <w:tcW w:w="833" w:type="dxa"/>
            <w:vAlign w:val="center"/>
          </w:tcPr>
          <w:p w14:paraId="3CDFC00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4CE2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5627992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每个油罐应各自设置卸油管道和卸油口。各卸油口及油气回收接口应有明显的标志。</w:t>
            </w:r>
          </w:p>
        </w:tc>
        <w:tc>
          <w:tcPr>
            <w:tcW w:w="1701" w:type="dxa"/>
            <w:vAlign w:val="center"/>
          </w:tcPr>
          <w:p w14:paraId="0E7E69C2">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第6.3.2条</w:t>
            </w:r>
          </w:p>
        </w:tc>
        <w:tc>
          <w:tcPr>
            <w:tcW w:w="2295" w:type="dxa"/>
            <w:vAlign w:val="center"/>
          </w:tcPr>
          <w:p w14:paraId="1216F39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每个油罐有相应的卸油口和卸油管道，各个卸油口有明显的标志。</w:t>
            </w:r>
          </w:p>
        </w:tc>
        <w:tc>
          <w:tcPr>
            <w:tcW w:w="833" w:type="dxa"/>
            <w:vAlign w:val="center"/>
          </w:tcPr>
          <w:p w14:paraId="16987A3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670D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0B6D886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3.3卸油口应装设快速接头及密封盖</w:t>
            </w:r>
            <w:r>
              <w:rPr>
                <w:color w:val="000000" w:themeColor="text1"/>
                <w14:textFill>
                  <w14:solidFill>
                    <w14:schemeClr w14:val="tx1"/>
                  </w14:solidFill>
                </w14:textFill>
              </w:rPr>
              <w:t>。</w:t>
            </w:r>
          </w:p>
        </w:tc>
        <w:tc>
          <w:tcPr>
            <w:tcW w:w="1701" w:type="dxa"/>
            <w:vAlign w:val="center"/>
          </w:tcPr>
          <w:p w14:paraId="4DCB92BC">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第6.3.3条</w:t>
            </w:r>
          </w:p>
        </w:tc>
        <w:tc>
          <w:tcPr>
            <w:tcW w:w="2295" w:type="dxa"/>
            <w:vAlign w:val="center"/>
          </w:tcPr>
          <w:p w14:paraId="18EEF1D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卸油口设置有快速接头和密封盖。</w:t>
            </w:r>
          </w:p>
        </w:tc>
        <w:tc>
          <w:tcPr>
            <w:tcW w:w="833" w:type="dxa"/>
            <w:vAlign w:val="center"/>
          </w:tcPr>
          <w:p w14:paraId="6F23E2A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4953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62DB254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3.4加油站卸油油气回收系统的设计应符合下列规定：</w:t>
            </w:r>
          </w:p>
          <w:p w14:paraId="1CBEBC5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1.汽油罐车向站内油罐卸油应采用平衡式密闭油气回收系统；</w:t>
            </w:r>
          </w:p>
          <w:p w14:paraId="5878B64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2.各汽油罐可共用一根卸油油气回收主管的公称直径不宜小于100mm；</w:t>
            </w:r>
          </w:p>
          <w:p w14:paraId="5EB2C38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3.卸油油气回收管道的接口宜采用自闭式快速接头和盖帽，采用非自闭式快速接头时，应在靠近快速接头的连接管道上装设阀门和盖帽。</w:t>
            </w:r>
          </w:p>
        </w:tc>
        <w:tc>
          <w:tcPr>
            <w:tcW w:w="1701" w:type="dxa"/>
            <w:vAlign w:val="center"/>
          </w:tcPr>
          <w:p w14:paraId="75B78690">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第6.3.4条</w:t>
            </w:r>
          </w:p>
        </w:tc>
        <w:tc>
          <w:tcPr>
            <w:tcW w:w="2295" w:type="dxa"/>
            <w:vAlign w:val="center"/>
          </w:tcPr>
          <w:p w14:paraId="50AA7BC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汽油罐车向站内油罐卸油采用平衡式密闭油气回收系统；卸油油气回收主管的公称直径不小于100mm；卸油油气回收管道的接口采用了自闭式快速接头和盖帽。</w:t>
            </w:r>
          </w:p>
        </w:tc>
        <w:tc>
          <w:tcPr>
            <w:tcW w:w="833" w:type="dxa"/>
            <w:vAlign w:val="center"/>
          </w:tcPr>
          <w:p w14:paraId="5D6ABFD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997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4777C6D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3.5加油站宜采用油罐装设潜油泵的一泵供多机的加油工艺。</w:t>
            </w:r>
            <w:r>
              <w:rPr>
                <w:color w:val="000000" w:themeColor="text1"/>
                <w14:textFill>
                  <w14:solidFill>
                    <w14:schemeClr w14:val="tx1"/>
                  </w14:solidFill>
                </w14:textFill>
              </w:rPr>
              <w:t>当采用自吸式加油机时、每台加油机应按加油品种单独设置进油管</w:t>
            </w:r>
            <w:r>
              <w:rPr>
                <w:rFonts w:hint="eastAsia"/>
                <w:color w:val="000000" w:themeColor="text1"/>
                <w14:textFill>
                  <w14:solidFill>
                    <w14:schemeClr w14:val="tx1"/>
                  </w14:solidFill>
                </w14:textFill>
              </w:rPr>
              <w:t>和底阀</w:t>
            </w:r>
            <w:r>
              <w:rPr>
                <w:color w:val="000000" w:themeColor="text1"/>
                <w14:textFill>
                  <w14:solidFill>
                    <w14:schemeClr w14:val="tx1"/>
                  </w14:solidFill>
                </w14:textFill>
              </w:rPr>
              <w:t>。</w:t>
            </w:r>
          </w:p>
        </w:tc>
        <w:tc>
          <w:tcPr>
            <w:tcW w:w="1701" w:type="dxa"/>
            <w:vAlign w:val="center"/>
          </w:tcPr>
          <w:p w14:paraId="1ECD40F4">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第6.3.5条</w:t>
            </w:r>
          </w:p>
        </w:tc>
        <w:tc>
          <w:tcPr>
            <w:tcW w:w="2295" w:type="dxa"/>
            <w:vAlign w:val="center"/>
          </w:tcPr>
          <w:p w14:paraId="42B4E9B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加油机采用潜油泵供油。</w:t>
            </w:r>
          </w:p>
        </w:tc>
        <w:tc>
          <w:tcPr>
            <w:tcW w:w="833" w:type="dxa"/>
            <w:vAlign w:val="center"/>
          </w:tcPr>
          <w:p w14:paraId="3E3D241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4212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6DC6888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3.6加油站应采用加油油气回收系统。</w:t>
            </w:r>
          </w:p>
        </w:tc>
        <w:tc>
          <w:tcPr>
            <w:tcW w:w="1701" w:type="dxa"/>
            <w:vAlign w:val="center"/>
          </w:tcPr>
          <w:p w14:paraId="563B5480">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第6.3.6条</w:t>
            </w:r>
          </w:p>
        </w:tc>
        <w:tc>
          <w:tcPr>
            <w:tcW w:w="2295" w:type="dxa"/>
            <w:vAlign w:val="center"/>
          </w:tcPr>
          <w:p w14:paraId="449DA6A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加油站采用加油油气回收系统。</w:t>
            </w:r>
          </w:p>
        </w:tc>
        <w:tc>
          <w:tcPr>
            <w:tcW w:w="833" w:type="dxa"/>
            <w:vAlign w:val="center"/>
          </w:tcPr>
          <w:p w14:paraId="5688216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E88D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5F542C5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14:paraId="4639B4B3">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第6.3.7条</w:t>
            </w:r>
          </w:p>
        </w:tc>
        <w:tc>
          <w:tcPr>
            <w:tcW w:w="2295" w:type="dxa"/>
            <w:vAlign w:val="center"/>
          </w:tcPr>
          <w:p w14:paraId="475EF2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14:paraId="0A2F943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8BE7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2B9FE53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14:paraId="30910142">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第6.3.9条</w:t>
            </w:r>
          </w:p>
        </w:tc>
        <w:tc>
          <w:tcPr>
            <w:tcW w:w="2295" w:type="dxa"/>
            <w:vAlign w:val="center"/>
          </w:tcPr>
          <w:p w14:paraId="3A220C4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汽油与柴油罐通气管分开设置，高度高出地面4m，并安装了阻火器，汽油通气管安装了机械呼吸阀。</w:t>
            </w:r>
          </w:p>
        </w:tc>
        <w:tc>
          <w:tcPr>
            <w:tcW w:w="833" w:type="dxa"/>
            <w:vAlign w:val="center"/>
          </w:tcPr>
          <w:p w14:paraId="3F23F92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D40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3ACF3C7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3.9通气管的公称直径不应小于50mm。</w:t>
            </w:r>
          </w:p>
        </w:tc>
        <w:tc>
          <w:tcPr>
            <w:tcW w:w="1701" w:type="dxa"/>
            <w:vAlign w:val="center"/>
          </w:tcPr>
          <w:p w14:paraId="7FE4C38B">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第6.3.10条</w:t>
            </w:r>
          </w:p>
        </w:tc>
        <w:tc>
          <w:tcPr>
            <w:tcW w:w="2295" w:type="dxa"/>
            <w:vAlign w:val="center"/>
          </w:tcPr>
          <w:p w14:paraId="3A14645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通气管公称直径为50mm。</w:t>
            </w:r>
          </w:p>
        </w:tc>
        <w:tc>
          <w:tcPr>
            <w:tcW w:w="833" w:type="dxa"/>
            <w:vAlign w:val="center"/>
          </w:tcPr>
          <w:p w14:paraId="2DF7E24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92DC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061E943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3.10当加油站采用油气回收系统时，汽油罐的通气管管口除应装设阻火器外，尚应装设呼吸阀。</w:t>
            </w:r>
            <w:r>
              <w:rPr>
                <w:color w:val="000000" w:themeColor="text1"/>
                <w14:textFill>
                  <w14:solidFill>
                    <w14:schemeClr w14:val="tx1"/>
                  </w14:solidFill>
                </w14:textFill>
              </w:rPr>
              <w:t>呼吸阀</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正</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～3k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负</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p>
        </w:tc>
        <w:tc>
          <w:tcPr>
            <w:tcW w:w="1701" w:type="dxa"/>
            <w:vAlign w:val="center"/>
          </w:tcPr>
          <w:p w14:paraId="34B487A7">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第6.3.11条</w:t>
            </w:r>
          </w:p>
        </w:tc>
        <w:tc>
          <w:tcPr>
            <w:tcW w:w="2295" w:type="dxa"/>
            <w:vAlign w:val="center"/>
          </w:tcPr>
          <w:p w14:paraId="7A2E00A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汽油罐的通气管管口装设有阻火器和呼吸阀。</w:t>
            </w:r>
          </w:p>
        </w:tc>
        <w:tc>
          <w:tcPr>
            <w:tcW w:w="833" w:type="dxa"/>
            <w:vAlign w:val="center"/>
          </w:tcPr>
          <w:p w14:paraId="6DD2BCF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4CB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339806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rPr>
                <w:color w:val="000000" w:themeColor="text1"/>
                <w14:textFill>
                  <w14:solidFill>
                    <w14:schemeClr w14:val="tx1"/>
                  </w14:solidFill>
                </w14:textFill>
              </w:rPr>
              <w:t xml:space="preserve"> </w:t>
            </w:r>
          </w:p>
        </w:tc>
        <w:tc>
          <w:tcPr>
            <w:tcW w:w="1701" w:type="dxa"/>
            <w:vAlign w:val="center"/>
          </w:tcPr>
          <w:p w14:paraId="71E2AB5F">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第6.3.12条</w:t>
            </w:r>
          </w:p>
        </w:tc>
        <w:tc>
          <w:tcPr>
            <w:tcW w:w="2295" w:type="dxa"/>
            <w:vAlign w:val="center"/>
          </w:tcPr>
          <w:p w14:paraId="55B7C2F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加油站工艺管道的选用均符合规范要求。</w:t>
            </w:r>
          </w:p>
        </w:tc>
        <w:tc>
          <w:tcPr>
            <w:tcW w:w="833" w:type="dxa"/>
            <w:vAlign w:val="center"/>
          </w:tcPr>
          <w:p w14:paraId="0B54499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FC3B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1094ADC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3.12油罐车卸油时用的卸油连通软管、油气回收连通软管，应采用导静电耐油软管，其体电阻率应小于108Ω</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m，表面电阻率应小于1010Ω，或采用内附金属丝（网）的橡胶软管。</w:t>
            </w:r>
          </w:p>
        </w:tc>
        <w:tc>
          <w:tcPr>
            <w:tcW w:w="1701" w:type="dxa"/>
            <w:vAlign w:val="center"/>
          </w:tcPr>
          <w:p w14:paraId="426BCFC9">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第6.3.13条</w:t>
            </w:r>
          </w:p>
        </w:tc>
        <w:tc>
          <w:tcPr>
            <w:tcW w:w="2295" w:type="dxa"/>
            <w:vAlign w:val="center"/>
          </w:tcPr>
          <w:p w14:paraId="159883E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油罐车卸油时用的卸油连通软管、油气回收连通软管，均采用导静电耐油软管。</w:t>
            </w:r>
          </w:p>
        </w:tc>
        <w:tc>
          <w:tcPr>
            <w:tcW w:w="833" w:type="dxa"/>
            <w:vAlign w:val="center"/>
          </w:tcPr>
          <w:p w14:paraId="3BDF7A8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D1E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5037DD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3.13加油站内的工艺管道除必须露出地面的以外，均应埋地敷设。当采用管沟敷设时，管沟必须用中性沙或细土填满填实。</w:t>
            </w:r>
          </w:p>
        </w:tc>
        <w:tc>
          <w:tcPr>
            <w:tcW w:w="1701" w:type="dxa"/>
            <w:vAlign w:val="center"/>
          </w:tcPr>
          <w:p w14:paraId="719012CA">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第6.3.14条</w:t>
            </w:r>
          </w:p>
        </w:tc>
        <w:tc>
          <w:tcPr>
            <w:tcW w:w="2295" w:type="dxa"/>
            <w:vAlign w:val="center"/>
          </w:tcPr>
          <w:p w14:paraId="61DD494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加油站内除通气管外的工艺管道均埋地敷设。</w:t>
            </w:r>
          </w:p>
        </w:tc>
        <w:tc>
          <w:tcPr>
            <w:tcW w:w="833" w:type="dxa"/>
            <w:vAlign w:val="center"/>
          </w:tcPr>
          <w:p w14:paraId="194327C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3F1E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51C082E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3.14卸油管道、卸油油气回收管道、加油油气回收管道和油罐通气管横管，应坡向埋地油罐。卸油管道的坡度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，卸油油气回收管道、加油油气回收管道和油罐通气管横管的坡度，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1%。</w:t>
            </w:r>
          </w:p>
        </w:tc>
        <w:tc>
          <w:tcPr>
            <w:tcW w:w="1701" w:type="dxa"/>
            <w:vAlign w:val="center"/>
          </w:tcPr>
          <w:p w14:paraId="2003A44A">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第6.3.15条</w:t>
            </w:r>
          </w:p>
        </w:tc>
        <w:tc>
          <w:tcPr>
            <w:tcW w:w="2295" w:type="dxa"/>
            <w:vAlign w:val="center"/>
          </w:tcPr>
          <w:p w14:paraId="4ABA93C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卸油管道、卸油油气回收管道、加油油气回收管道和油罐通气管横管均坡向埋地油罐敷设。</w:t>
            </w:r>
          </w:p>
        </w:tc>
        <w:tc>
          <w:tcPr>
            <w:tcW w:w="833" w:type="dxa"/>
            <w:vAlign w:val="center"/>
          </w:tcPr>
          <w:p w14:paraId="2D196F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4555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6BBDF5E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14:paraId="26676FE3">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14:paraId="6C19A9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埋地工艺管道的埋设深度大于0.4m。敷设在混凝土场地、道路下面的管道，管顶低于混凝土层下表面大于0.2m。管道周围回填100mm厚的细土。</w:t>
            </w:r>
          </w:p>
        </w:tc>
        <w:tc>
          <w:tcPr>
            <w:tcW w:w="833" w:type="dxa"/>
            <w:vAlign w:val="center"/>
          </w:tcPr>
          <w:p w14:paraId="2867A8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16F7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2F7EE56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3.16</w:t>
            </w:r>
            <w:r>
              <w:rPr>
                <w:color w:val="000000" w:themeColor="text1"/>
                <w14:textFill>
                  <w14:solidFill>
                    <w14:schemeClr w14:val="tx1"/>
                  </w14:solidFill>
                </w14:textFill>
              </w:rPr>
              <w:t>加油站内的工艺管道应埋地敷设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且不得穿过站房等建、构筑物。当油品管道与管沟、电线沟和排水沟相交叉时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应采取相应的防渗漏措施。</w:t>
            </w:r>
          </w:p>
        </w:tc>
        <w:tc>
          <w:tcPr>
            <w:tcW w:w="1701" w:type="dxa"/>
            <w:vAlign w:val="center"/>
          </w:tcPr>
          <w:p w14:paraId="21C40BED">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14:paraId="59E3BC9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工艺管道未穿过站房等建筑。</w:t>
            </w:r>
          </w:p>
        </w:tc>
        <w:tc>
          <w:tcPr>
            <w:tcW w:w="833" w:type="dxa"/>
            <w:vAlign w:val="center"/>
          </w:tcPr>
          <w:p w14:paraId="4650836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794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36AB535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3.17埋地钢质管道外表面的防腐设计，应符合现行国家标准《钢质管道外腐蚀控制规范》GB/T21447的有关规定。</w:t>
            </w:r>
          </w:p>
        </w:tc>
        <w:tc>
          <w:tcPr>
            <w:tcW w:w="1701" w:type="dxa"/>
            <w:vAlign w:val="center"/>
          </w:tcPr>
          <w:p w14:paraId="5FC4EC5B">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第6.3.20条</w:t>
            </w:r>
          </w:p>
        </w:tc>
        <w:tc>
          <w:tcPr>
            <w:tcW w:w="2295" w:type="dxa"/>
          </w:tcPr>
          <w:p w14:paraId="6534371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埋地钢质管道外表面的防腐满足规范要求。</w:t>
            </w:r>
          </w:p>
        </w:tc>
        <w:tc>
          <w:tcPr>
            <w:tcW w:w="833" w:type="dxa"/>
            <w:vAlign w:val="center"/>
          </w:tcPr>
          <w:p w14:paraId="0BE81B4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A2E0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14:paraId="569F672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4.防渗措施</w:t>
            </w:r>
          </w:p>
        </w:tc>
      </w:tr>
      <w:tr w14:paraId="56FF7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35AE7AF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4.1加油站埋地油罐应采用下列之一的防渗方式：（1）采用双层油罐；（2）单层油罐设置防渗罐池。</w:t>
            </w:r>
          </w:p>
        </w:tc>
        <w:tc>
          <w:tcPr>
            <w:tcW w:w="1701" w:type="dxa"/>
            <w:vAlign w:val="center"/>
          </w:tcPr>
          <w:p w14:paraId="09933808">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第6.5.1条</w:t>
            </w:r>
          </w:p>
        </w:tc>
        <w:tc>
          <w:tcPr>
            <w:tcW w:w="2295" w:type="dxa"/>
            <w:vAlign w:val="center"/>
          </w:tcPr>
          <w:p w14:paraId="159F5EE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w:t>
            </w:r>
          </w:p>
        </w:tc>
        <w:tc>
          <w:tcPr>
            <w:tcW w:w="833" w:type="dxa"/>
            <w:vAlign w:val="center"/>
          </w:tcPr>
          <w:p w14:paraId="06D51B9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DA5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7563152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4.2防渗罐池的设计应符合下列规定：</w:t>
            </w:r>
          </w:p>
          <w:p w14:paraId="5B54D32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1防渗罐池应采用防渗钢筋混凝土整体浇筑，并应符合现行国家标准《地下工程防水技术规范》GB 50108的有关规定；2防渗罐池应根据油罐的数量设置隔池，一个隔池内的油罐不应多于两座；3防渗罐池的池壁顶应高于池内罐顶标高，池底宜低于罐底设计标高200mm，墙面与罐壁之间的间距不应小于500mm；4防渗罐池的内表面应衬玻璃钢或其他材料防渗层；5防渗罐池内的空间应采用中性沙回填；6防渗罐池的上部应采取防止雨水，地表水和外部泄漏油品渗入池内的措施。</w:t>
            </w:r>
          </w:p>
        </w:tc>
        <w:tc>
          <w:tcPr>
            <w:tcW w:w="1701" w:type="dxa"/>
            <w:vAlign w:val="center"/>
          </w:tcPr>
          <w:p w14:paraId="312849C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5.2</w:t>
            </w:r>
            <w:r>
              <w:rPr>
                <w:color w:val="000000" w:themeColor="text1"/>
                <w14:textFill>
                  <w14:solidFill>
                    <w14:schemeClr w14:val="tx1"/>
                  </w14:solidFill>
                </w14:textFill>
              </w:rPr>
              <w:t>条</w:t>
            </w:r>
          </w:p>
        </w:tc>
        <w:tc>
          <w:tcPr>
            <w:tcW w:w="2295" w:type="dxa"/>
            <w:vAlign w:val="center"/>
          </w:tcPr>
          <w:p w14:paraId="63D60DC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14:paraId="53F2A9E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19A70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5389166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4.3防渗罐池的各隔池内应设检测立管，检测立管的设置应符合下列规定：</w:t>
            </w:r>
          </w:p>
          <w:p w14:paraId="4C51649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1检测立管应采用耐油、耐腐蚀的管材制作，直径宜为100mm，壁厚不应小于4mm；</w:t>
            </w:r>
          </w:p>
          <w:p w14:paraId="6879742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2检测立管的下端应置于防渗罐池的最低处，除设置在车道下的油罐外，检测立管的上部管口应高出罐区设计地面200mm；</w:t>
            </w:r>
          </w:p>
          <w:p w14:paraId="09D2874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3检测立管与池内罐顶标高以下范围应为过滤管段，过滤管段应能允许池内任何层面的渗漏液体进入检测管，并应能阻止泥沙侵入；</w:t>
            </w:r>
          </w:p>
          <w:p w14:paraId="77B555B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4检测立管周围应回填粒径为10mm~30mm的砾石；5检测口应有防止雨水、油污、杂物侵入的保护盖和标识。</w:t>
            </w:r>
          </w:p>
        </w:tc>
        <w:tc>
          <w:tcPr>
            <w:tcW w:w="1701" w:type="dxa"/>
            <w:vAlign w:val="center"/>
          </w:tcPr>
          <w:p w14:paraId="02E4A65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5.3</w:t>
            </w:r>
            <w:r>
              <w:rPr>
                <w:color w:val="000000" w:themeColor="text1"/>
                <w14:textFill>
                  <w14:solidFill>
                    <w14:schemeClr w14:val="tx1"/>
                  </w14:solidFill>
                </w14:textFill>
              </w:rPr>
              <w:t>条</w:t>
            </w:r>
          </w:p>
        </w:tc>
        <w:tc>
          <w:tcPr>
            <w:tcW w:w="2295" w:type="dxa"/>
            <w:vAlign w:val="center"/>
          </w:tcPr>
          <w:p w14:paraId="57F10D9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14:paraId="09CA1E7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09815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14:paraId="03C7BE4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4.4装有潜油泵的油罐人孔操作井、卸油口井、加油机底槽等可能发生油品渗漏的部位，也应采取相应的防渗措施。</w:t>
            </w:r>
          </w:p>
        </w:tc>
        <w:tc>
          <w:tcPr>
            <w:tcW w:w="1701" w:type="dxa"/>
            <w:vAlign w:val="center"/>
          </w:tcPr>
          <w:p w14:paraId="40CD3C2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14:paraId="708F64F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第6.5.4条</w:t>
            </w:r>
          </w:p>
        </w:tc>
        <w:tc>
          <w:tcPr>
            <w:tcW w:w="2295" w:type="dxa"/>
            <w:vAlign w:val="center"/>
          </w:tcPr>
          <w:p w14:paraId="1F59588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油罐人孔操作井、卸油口井、加油机底槽等，采取了相应的防渗措施。</w:t>
            </w:r>
          </w:p>
        </w:tc>
        <w:tc>
          <w:tcPr>
            <w:tcW w:w="833" w:type="dxa"/>
            <w:vAlign w:val="center"/>
          </w:tcPr>
          <w:p w14:paraId="645E22A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182D00E4">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加油工艺及设施</w:t>
      </w:r>
      <w:r>
        <w:rPr>
          <w:color w:val="000000" w:themeColor="text1"/>
          <w14:textFill>
            <w14:solidFill>
              <w14:schemeClr w14:val="tx1"/>
            </w14:solidFill>
          </w14:textFill>
        </w:rPr>
        <w:t>检查结果：</w:t>
      </w:r>
    </w:p>
    <w:p w14:paraId="40BE55BE">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通过采用安全检查表对加油站工艺及设施进行检查评价，加油站所采用的密闭卸油，潜油泵供油的加油工艺，加油站设置汽油卸油油气回收系统和汽油加油油气回收系统，</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14:paraId="708011C0">
      <w:pPr>
        <w:pStyle w:val="3"/>
        <w:rPr>
          <w:color w:val="000000" w:themeColor="text1"/>
          <w14:textFill>
            <w14:solidFill>
              <w14:schemeClr w14:val="tx1"/>
            </w14:solidFill>
          </w14:textFill>
        </w:rPr>
      </w:pPr>
      <w:bookmarkStart w:id="392" w:name="_Toc195176764"/>
      <w:bookmarkStart w:id="393" w:name="_Toc32705"/>
      <w:r>
        <w:rPr>
          <w:rFonts w:hint="eastAsia"/>
          <w:color w:val="000000" w:themeColor="text1"/>
          <w14:textFill>
            <w14:solidFill>
              <w14:schemeClr w14:val="tx1"/>
            </w14:solidFill>
          </w14:textFill>
        </w:rPr>
        <w:t>公用工程分析</w:t>
      </w:r>
      <w:bookmarkEnd w:id="392"/>
      <w:r>
        <w:rPr>
          <w:rFonts w:hint="eastAsia"/>
          <w:color w:val="000000" w:themeColor="text1"/>
          <w14:textFill>
            <w14:solidFill>
              <w14:schemeClr w14:val="tx1"/>
            </w14:solidFill>
          </w14:textFill>
        </w:rPr>
        <w:t>评价</w:t>
      </w:r>
      <w:bookmarkEnd w:id="393"/>
    </w:p>
    <w:p w14:paraId="5764B974">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依据《汽车加油加气加氢站技术标准》（GB50156-2021）编制安全检查表对加油站公用工程进行分析评价，检查结果见表6-4。</w:t>
      </w:r>
    </w:p>
    <w:p w14:paraId="59B10211">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表6-4 公用工程安全检查表</w:t>
      </w:r>
    </w:p>
    <w:tbl>
      <w:tblPr>
        <w:tblStyle w:val="33"/>
        <w:tblW w:w="860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4453"/>
        <w:gridCol w:w="1374"/>
        <w:gridCol w:w="1963"/>
        <w:gridCol w:w="818"/>
      </w:tblGrid>
      <w:tr w14:paraId="35D54F9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tblHeader/>
          <w:jc w:val="center"/>
        </w:trPr>
        <w:tc>
          <w:tcPr>
            <w:tcW w:w="4453" w:type="dxa"/>
            <w:tcBorders>
              <w:top w:val="single" w:color="auto" w:sz="6" w:space="0"/>
              <w:left w:val="single" w:color="auto" w:sz="6" w:space="0"/>
              <w:bottom w:val="single" w:color="auto" w:sz="6" w:space="0"/>
              <w:right w:val="single" w:color="auto" w:sz="6" w:space="0"/>
            </w:tcBorders>
            <w:vAlign w:val="center"/>
          </w:tcPr>
          <w:p w14:paraId="0A7B1DC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374" w:type="dxa"/>
            <w:tcBorders>
              <w:top w:val="single" w:color="auto" w:sz="6" w:space="0"/>
              <w:left w:val="single" w:color="auto" w:sz="6" w:space="0"/>
              <w:bottom w:val="single" w:color="auto" w:sz="6" w:space="0"/>
              <w:right w:val="single" w:color="auto" w:sz="6" w:space="0"/>
            </w:tcBorders>
            <w:vAlign w:val="center"/>
          </w:tcPr>
          <w:p w14:paraId="3F4D1BD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1963" w:type="dxa"/>
            <w:tcBorders>
              <w:top w:val="single" w:color="auto" w:sz="6" w:space="0"/>
              <w:left w:val="single" w:color="auto" w:sz="6" w:space="0"/>
              <w:bottom w:val="single" w:color="auto" w:sz="6" w:space="0"/>
              <w:right w:val="single" w:color="auto" w:sz="6" w:space="0"/>
            </w:tcBorders>
            <w:vAlign w:val="center"/>
          </w:tcPr>
          <w:p w14:paraId="59C750EB">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检查情况</w:t>
            </w:r>
          </w:p>
        </w:tc>
        <w:tc>
          <w:tcPr>
            <w:tcW w:w="818" w:type="dxa"/>
            <w:tcBorders>
              <w:top w:val="single" w:color="auto" w:sz="6" w:space="0"/>
              <w:left w:val="single" w:color="auto" w:sz="6" w:space="0"/>
              <w:bottom w:val="single" w:color="auto" w:sz="6" w:space="0"/>
              <w:right w:val="single" w:color="auto" w:sz="6" w:space="0"/>
            </w:tcBorders>
            <w:vAlign w:val="center"/>
          </w:tcPr>
          <w:p w14:paraId="7F31ADB6">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14:paraId="29C849E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14:paraId="34ACD4E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  给排水</w:t>
            </w:r>
          </w:p>
        </w:tc>
      </w:tr>
      <w:tr w14:paraId="5B345EB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tcPr>
          <w:p w14:paraId="2EA1FF4A">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1.1加油站的排水应符合下列规定：（1）站内地面雨水可散流排出站外，当雨水由明沟排到站外时，应在围墙内设置水封装置。</w:t>
            </w:r>
          </w:p>
          <w:p w14:paraId="70655216">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（2）加油站、排出建筑物或围墙的污水，在建筑物墙外或围墙内应分别设水封装置。水封装置的水封高度不应小于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；水封装置应设沉泥段，沉泥段高度不应小于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w:t>
            </w:r>
          </w:p>
          <w:p w14:paraId="7A8767D6">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（3）排出站外的污水应符合国家现行有关污水排放标准的规定。</w:t>
            </w:r>
          </w:p>
          <w:p w14:paraId="421EB3DC">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（4）加油站不应采用暗沟排水。</w:t>
            </w:r>
          </w:p>
        </w:tc>
        <w:tc>
          <w:tcPr>
            <w:tcW w:w="1374" w:type="dxa"/>
            <w:tcBorders>
              <w:top w:val="single" w:color="auto" w:sz="6" w:space="0"/>
              <w:left w:val="single" w:color="auto" w:sz="6" w:space="0"/>
              <w:bottom w:val="single" w:color="auto" w:sz="6" w:space="0"/>
              <w:right w:val="single" w:color="auto" w:sz="6" w:space="0"/>
            </w:tcBorders>
            <w:vAlign w:val="center"/>
          </w:tcPr>
          <w:p w14:paraId="5A7A74F8">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第12.3.2条</w:t>
            </w:r>
          </w:p>
        </w:tc>
        <w:tc>
          <w:tcPr>
            <w:tcW w:w="1963" w:type="dxa"/>
            <w:tcBorders>
              <w:top w:val="single" w:color="auto" w:sz="6" w:space="0"/>
              <w:left w:val="single" w:color="auto" w:sz="6" w:space="0"/>
              <w:bottom w:val="single" w:color="auto" w:sz="6" w:space="0"/>
              <w:right w:val="single" w:color="auto" w:sz="6" w:space="0"/>
            </w:tcBorders>
            <w:vAlign w:val="center"/>
          </w:tcPr>
          <w:p w14:paraId="1A3D0C3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站内有雨水、生活废水和冲地地坪的废水排放，废水散流排出站外公路排水沟</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加油站靠公路一侧绿化带内设置有三级油水分离池，含油污水集中处理后排出站外，加油站场地设置坡向站外，便于排水。</w:t>
            </w:r>
          </w:p>
        </w:tc>
        <w:tc>
          <w:tcPr>
            <w:tcW w:w="818" w:type="dxa"/>
            <w:tcBorders>
              <w:top w:val="single" w:color="auto" w:sz="6" w:space="0"/>
              <w:left w:val="single" w:color="auto" w:sz="6" w:space="0"/>
              <w:bottom w:val="single" w:color="auto" w:sz="6" w:space="0"/>
              <w:right w:val="single" w:color="auto" w:sz="6" w:space="0"/>
            </w:tcBorders>
            <w:vAlign w:val="center"/>
          </w:tcPr>
          <w:p w14:paraId="5B1AC371">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符合</w:t>
            </w:r>
          </w:p>
        </w:tc>
      </w:tr>
      <w:tr w14:paraId="5B04F3E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14:paraId="3900801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  供配电</w:t>
            </w:r>
          </w:p>
        </w:tc>
      </w:tr>
      <w:tr w14:paraId="77C33AA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48CC818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.1加油站的供电负荷等级可为三级</w:t>
            </w:r>
            <w:r>
              <w:rPr>
                <w:rFonts w:hint="eastAsia"/>
                <w:color w:val="000000" w:themeColor="text1"/>
                <w14:textFill>
                  <w14:solidFill>
                    <w14:schemeClr w14:val="tx1"/>
                  </w14:solidFill>
                </w14:textFill>
              </w:rPr>
              <w:t>，信息系统应设不间断供电电源。</w:t>
            </w:r>
          </w:p>
        </w:tc>
        <w:tc>
          <w:tcPr>
            <w:tcW w:w="1374" w:type="dxa"/>
            <w:tcBorders>
              <w:top w:val="single" w:color="auto" w:sz="6" w:space="0"/>
              <w:left w:val="single" w:color="auto" w:sz="6" w:space="0"/>
              <w:bottom w:val="single" w:color="auto" w:sz="6" w:space="0"/>
              <w:right w:val="single" w:color="auto" w:sz="6" w:space="0"/>
            </w:tcBorders>
            <w:vAlign w:val="center"/>
          </w:tcPr>
          <w:p w14:paraId="7DCA2ED2">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第13.1.1条</w:t>
            </w:r>
          </w:p>
        </w:tc>
        <w:tc>
          <w:tcPr>
            <w:tcW w:w="1963" w:type="dxa"/>
            <w:tcBorders>
              <w:top w:val="single" w:color="auto" w:sz="6" w:space="0"/>
              <w:left w:val="single" w:color="auto" w:sz="6" w:space="0"/>
              <w:bottom w:val="single" w:color="auto" w:sz="6" w:space="0"/>
              <w:right w:val="single" w:color="auto" w:sz="6" w:space="0"/>
            </w:tcBorders>
            <w:vAlign w:val="center"/>
          </w:tcPr>
          <w:p w14:paraId="2833C3D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供电负荷为三级。</w:t>
            </w:r>
          </w:p>
        </w:tc>
        <w:tc>
          <w:tcPr>
            <w:tcW w:w="818" w:type="dxa"/>
            <w:tcBorders>
              <w:top w:val="single" w:color="auto" w:sz="6" w:space="0"/>
              <w:left w:val="single" w:color="auto" w:sz="6" w:space="0"/>
              <w:bottom w:val="single" w:color="auto" w:sz="6" w:space="0"/>
              <w:right w:val="single" w:color="auto" w:sz="6" w:space="0"/>
            </w:tcBorders>
            <w:vAlign w:val="center"/>
          </w:tcPr>
          <w:p w14:paraId="4B38BF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3E8B8E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3ADB639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加油站的供电电源，宜采用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w:t>
            </w:r>
          </w:p>
        </w:tc>
        <w:tc>
          <w:tcPr>
            <w:tcW w:w="1374" w:type="dxa"/>
            <w:tcBorders>
              <w:top w:val="single" w:color="auto" w:sz="6" w:space="0"/>
              <w:left w:val="single" w:color="auto" w:sz="6" w:space="0"/>
              <w:bottom w:val="single" w:color="auto" w:sz="6" w:space="0"/>
              <w:right w:val="single" w:color="auto" w:sz="6" w:space="0"/>
            </w:tcBorders>
            <w:vAlign w:val="center"/>
          </w:tcPr>
          <w:p w14:paraId="15998F8A">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第13.1.2条</w:t>
            </w:r>
          </w:p>
        </w:tc>
        <w:tc>
          <w:tcPr>
            <w:tcW w:w="1963" w:type="dxa"/>
            <w:tcBorders>
              <w:top w:val="single" w:color="auto" w:sz="6" w:space="0"/>
              <w:left w:val="single" w:color="auto" w:sz="6" w:space="0"/>
              <w:bottom w:val="single" w:color="auto" w:sz="6" w:space="0"/>
              <w:right w:val="single" w:color="auto" w:sz="6" w:space="0"/>
            </w:tcBorders>
            <w:vAlign w:val="center"/>
          </w:tcPr>
          <w:p w14:paraId="167716B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加油站供电采用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外接电源接入配电柜。</w:t>
            </w:r>
          </w:p>
        </w:tc>
        <w:tc>
          <w:tcPr>
            <w:tcW w:w="818" w:type="dxa"/>
            <w:tcBorders>
              <w:top w:val="single" w:color="auto" w:sz="6" w:space="0"/>
              <w:left w:val="single" w:color="auto" w:sz="6" w:space="0"/>
              <w:bottom w:val="single" w:color="auto" w:sz="6" w:space="0"/>
              <w:right w:val="single" w:color="auto" w:sz="6" w:space="0"/>
            </w:tcBorders>
            <w:vAlign w:val="center"/>
          </w:tcPr>
          <w:p w14:paraId="748B02C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A1994F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461FDDB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加油站罩棚、营业室等处，均应设事故照明。</w:t>
            </w:r>
          </w:p>
        </w:tc>
        <w:tc>
          <w:tcPr>
            <w:tcW w:w="1374" w:type="dxa"/>
            <w:tcBorders>
              <w:top w:val="single" w:color="auto" w:sz="6" w:space="0"/>
              <w:left w:val="single" w:color="auto" w:sz="6" w:space="0"/>
              <w:bottom w:val="single" w:color="auto" w:sz="6" w:space="0"/>
              <w:right w:val="single" w:color="auto" w:sz="6" w:space="0"/>
            </w:tcBorders>
            <w:vAlign w:val="center"/>
          </w:tcPr>
          <w:p w14:paraId="7A9986A9">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第13.1.3条</w:t>
            </w:r>
          </w:p>
        </w:tc>
        <w:tc>
          <w:tcPr>
            <w:tcW w:w="1963" w:type="dxa"/>
            <w:tcBorders>
              <w:top w:val="single" w:color="auto" w:sz="6" w:space="0"/>
              <w:left w:val="single" w:color="auto" w:sz="6" w:space="0"/>
              <w:bottom w:val="single" w:color="auto" w:sz="6" w:space="0"/>
              <w:right w:val="single" w:color="auto" w:sz="6" w:space="0"/>
            </w:tcBorders>
            <w:vAlign w:val="center"/>
          </w:tcPr>
          <w:p w14:paraId="0AA3988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罩棚、营业室、</w:t>
            </w:r>
            <w:r>
              <w:rPr>
                <w:rFonts w:hint="eastAsia"/>
                <w:color w:val="000000" w:themeColor="text1"/>
                <w14:textFill>
                  <w14:solidFill>
                    <w14:schemeClr w14:val="tx1"/>
                  </w14:solidFill>
                </w14:textFill>
              </w:rPr>
              <w:t>配电室等均设置了应急照明。</w:t>
            </w:r>
          </w:p>
        </w:tc>
        <w:tc>
          <w:tcPr>
            <w:tcW w:w="818" w:type="dxa"/>
            <w:tcBorders>
              <w:top w:val="single" w:color="auto" w:sz="6" w:space="0"/>
              <w:left w:val="single" w:color="auto" w:sz="6" w:space="0"/>
              <w:bottom w:val="single" w:color="auto" w:sz="6" w:space="0"/>
              <w:right w:val="single" w:color="auto" w:sz="6" w:space="0"/>
            </w:tcBorders>
            <w:vAlign w:val="center"/>
          </w:tcPr>
          <w:p w14:paraId="308B346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8366739">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167FF7D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2.4当引用外电源有困难时，加油站可设置小型内燃发电机组。内燃机的排烟管口，应安装阻火器。排烟管口至各爆炸危险区域边界的水平距离，应符合下列规定：</w:t>
            </w:r>
          </w:p>
          <w:p w14:paraId="71E2A87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以下时，不应小于</w:t>
            </w:r>
            <w:r>
              <w:rPr>
                <w:color w:val="000000" w:themeColor="text1"/>
                <w14:textFill>
                  <w14:solidFill>
                    <w14:schemeClr w14:val="tx1"/>
                  </w14:solidFill>
                </w14:textFill>
              </w:rPr>
              <w:t>5m</w:t>
            </w:r>
            <w:r>
              <w:rPr>
                <w:rFonts w:hint="eastAsia"/>
                <w:color w:val="000000" w:themeColor="text1"/>
                <w14:textFill>
                  <w14:solidFill>
                    <w14:schemeClr w14:val="tx1"/>
                  </w14:solidFill>
                </w14:textFill>
              </w:rPr>
              <w:t>。</w:t>
            </w:r>
          </w:p>
          <w:p w14:paraId="076B7C7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及以上时，不应小于</w:t>
            </w:r>
            <w:r>
              <w:rPr>
                <w:color w:val="000000" w:themeColor="text1"/>
                <w14:textFill>
                  <w14:solidFill>
                    <w14:schemeClr w14:val="tx1"/>
                  </w14:solidFill>
                </w14:textFill>
              </w:rPr>
              <w:t>3m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14:paraId="7E742062">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第13.1.4条</w:t>
            </w:r>
          </w:p>
        </w:tc>
        <w:tc>
          <w:tcPr>
            <w:tcW w:w="1963" w:type="dxa"/>
            <w:tcBorders>
              <w:top w:val="single" w:color="auto" w:sz="6" w:space="0"/>
              <w:left w:val="single" w:color="auto" w:sz="6" w:space="0"/>
              <w:bottom w:val="single" w:color="auto" w:sz="6" w:space="0"/>
              <w:right w:val="single" w:color="auto" w:sz="6" w:space="0"/>
            </w:tcBorders>
            <w:vAlign w:val="center"/>
          </w:tcPr>
          <w:p w14:paraId="54CF389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加油站设置有柴油发电机；发电机排烟管口加装有阻火器；排烟管口至各爆炸危险区域边界的水平距离不小于</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14:paraId="60619AE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E11918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49ABF69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5加油站的电力线路宜采用电缆并直埋敷设。电缆穿越行车道部分，应穿钢管保护。</w:t>
            </w:r>
          </w:p>
        </w:tc>
        <w:tc>
          <w:tcPr>
            <w:tcW w:w="1374" w:type="dxa"/>
            <w:tcBorders>
              <w:top w:val="single" w:color="auto" w:sz="6" w:space="0"/>
              <w:left w:val="single" w:color="auto" w:sz="6" w:space="0"/>
              <w:bottom w:val="single" w:color="auto" w:sz="6" w:space="0"/>
              <w:right w:val="single" w:color="auto" w:sz="6" w:space="0"/>
            </w:tcBorders>
            <w:vAlign w:val="center"/>
          </w:tcPr>
          <w:p w14:paraId="1D68F8FF">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第13.1.5条</w:t>
            </w:r>
          </w:p>
        </w:tc>
        <w:tc>
          <w:tcPr>
            <w:tcW w:w="1963" w:type="dxa"/>
            <w:tcBorders>
              <w:top w:val="single" w:color="auto" w:sz="6" w:space="0"/>
              <w:left w:val="single" w:color="auto" w:sz="6" w:space="0"/>
              <w:bottom w:val="single" w:color="auto" w:sz="6" w:space="0"/>
              <w:right w:val="single" w:color="auto" w:sz="6" w:space="0"/>
            </w:tcBorders>
            <w:vAlign w:val="center"/>
          </w:tcPr>
          <w:p w14:paraId="655F752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电缆穿越行车道部分，均设置了穿钢管保护。</w:t>
            </w:r>
          </w:p>
        </w:tc>
        <w:tc>
          <w:tcPr>
            <w:tcW w:w="818" w:type="dxa"/>
            <w:tcBorders>
              <w:top w:val="single" w:color="auto" w:sz="6" w:space="0"/>
              <w:left w:val="single" w:color="auto" w:sz="6" w:space="0"/>
              <w:bottom w:val="single" w:color="auto" w:sz="6" w:space="0"/>
              <w:right w:val="single" w:color="auto" w:sz="6" w:space="0"/>
            </w:tcBorders>
            <w:vAlign w:val="center"/>
          </w:tcPr>
          <w:p w14:paraId="029C7DE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98B6DB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61979D2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6爆炸危险区域内的电气设备选型、安装、电力线路敷设等，应符合现行国家标准《爆炸危险环境电力装置设计规范》GB50058的有关规定。</w:t>
            </w:r>
          </w:p>
        </w:tc>
        <w:tc>
          <w:tcPr>
            <w:tcW w:w="1374" w:type="dxa"/>
            <w:tcBorders>
              <w:top w:val="single" w:color="auto" w:sz="6" w:space="0"/>
              <w:left w:val="single" w:color="auto" w:sz="6" w:space="0"/>
              <w:bottom w:val="single" w:color="auto" w:sz="6" w:space="0"/>
              <w:right w:val="single" w:color="auto" w:sz="6" w:space="0"/>
            </w:tcBorders>
            <w:vAlign w:val="center"/>
          </w:tcPr>
          <w:p w14:paraId="61597841">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第13.1.7条</w:t>
            </w:r>
          </w:p>
        </w:tc>
        <w:tc>
          <w:tcPr>
            <w:tcW w:w="1963" w:type="dxa"/>
            <w:tcBorders>
              <w:top w:val="single" w:color="auto" w:sz="6" w:space="0"/>
              <w:left w:val="single" w:color="auto" w:sz="6" w:space="0"/>
              <w:bottom w:val="single" w:color="auto" w:sz="6" w:space="0"/>
              <w:right w:val="single" w:color="auto" w:sz="6" w:space="0"/>
            </w:tcBorders>
            <w:vAlign w:val="center"/>
          </w:tcPr>
          <w:p w14:paraId="01E4494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爆炸危险区域内的加油机等设备均为防爆型。</w:t>
            </w:r>
          </w:p>
        </w:tc>
        <w:tc>
          <w:tcPr>
            <w:tcW w:w="818" w:type="dxa"/>
            <w:tcBorders>
              <w:top w:val="single" w:color="auto" w:sz="6" w:space="0"/>
              <w:left w:val="single" w:color="auto" w:sz="6" w:space="0"/>
              <w:bottom w:val="single" w:color="auto" w:sz="6" w:space="0"/>
              <w:right w:val="single" w:color="auto" w:sz="6" w:space="0"/>
            </w:tcBorders>
            <w:vAlign w:val="center"/>
          </w:tcPr>
          <w:p w14:paraId="44D888A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7EB127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39E3CEE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7加油站内爆炸危险区域以外的站房、罩棚等建筑物内的照明灯具，可选用非防爆型，但罩棚下的灯具应选用防护等级不低于</w:t>
            </w:r>
            <w:r>
              <w:rPr>
                <w:color w:val="000000" w:themeColor="text1"/>
                <w14:textFill>
                  <w14:solidFill>
                    <w14:schemeClr w14:val="tx1"/>
                  </w14:solidFill>
                </w14:textFill>
              </w:rPr>
              <w:t>IP44</w:t>
            </w:r>
            <w:r>
              <w:rPr>
                <w:rFonts w:hint="eastAsia"/>
                <w:color w:val="000000" w:themeColor="text1"/>
                <w14:textFill>
                  <w14:solidFill>
                    <w14:schemeClr w14:val="tx1"/>
                  </w14:solidFill>
                </w14:textFill>
              </w:rPr>
              <w:t>级的节能型照明灯具。</w:t>
            </w:r>
          </w:p>
        </w:tc>
        <w:tc>
          <w:tcPr>
            <w:tcW w:w="1374" w:type="dxa"/>
            <w:tcBorders>
              <w:top w:val="single" w:color="auto" w:sz="6" w:space="0"/>
              <w:left w:val="single" w:color="auto" w:sz="6" w:space="0"/>
              <w:bottom w:val="single" w:color="auto" w:sz="6" w:space="0"/>
              <w:right w:val="single" w:color="auto" w:sz="6" w:space="0"/>
            </w:tcBorders>
            <w:vAlign w:val="center"/>
          </w:tcPr>
          <w:p w14:paraId="5941701D">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第13.1.8条</w:t>
            </w:r>
          </w:p>
        </w:tc>
        <w:tc>
          <w:tcPr>
            <w:tcW w:w="1963" w:type="dxa"/>
            <w:tcBorders>
              <w:top w:val="single" w:color="auto" w:sz="6" w:space="0"/>
              <w:left w:val="single" w:color="auto" w:sz="6" w:space="0"/>
              <w:bottom w:val="single" w:color="auto" w:sz="6" w:space="0"/>
              <w:right w:val="single" w:color="auto" w:sz="6" w:space="0"/>
            </w:tcBorders>
            <w:vAlign w:val="center"/>
          </w:tcPr>
          <w:p w14:paraId="5B7141F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站房内选用非防爆型照明灯具，罩棚下选用防护型照明灯具。</w:t>
            </w:r>
          </w:p>
        </w:tc>
        <w:tc>
          <w:tcPr>
            <w:tcW w:w="818" w:type="dxa"/>
            <w:tcBorders>
              <w:top w:val="single" w:color="auto" w:sz="6" w:space="0"/>
              <w:left w:val="single" w:color="auto" w:sz="6" w:space="0"/>
              <w:bottom w:val="single" w:color="auto" w:sz="6" w:space="0"/>
              <w:right w:val="single" w:color="auto" w:sz="6" w:space="0"/>
            </w:tcBorders>
            <w:vAlign w:val="center"/>
          </w:tcPr>
          <w:p w14:paraId="6D43862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DBDF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14:paraId="23B3EDB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采暖通风</w:t>
            </w:r>
          </w:p>
        </w:tc>
      </w:tr>
      <w:tr w14:paraId="6DBE1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03D26ED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联锁。（2）采用自然通风时，通风口总面积不应小于300c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（地面），通风口不应少于2个，且应靠近可燃气体积聚的部位设置。</w:t>
            </w:r>
          </w:p>
        </w:tc>
        <w:tc>
          <w:tcPr>
            <w:tcW w:w="1374" w:type="dxa"/>
            <w:tcBorders>
              <w:top w:val="single" w:color="auto" w:sz="6" w:space="0"/>
              <w:left w:val="single" w:color="auto" w:sz="6" w:space="0"/>
              <w:bottom w:val="single" w:color="auto" w:sz="6" w:space="0"/>
              <w:right w:val="single" w:color="auto" w:sz="6" w:space="0"/>
            </w:tcBorders>
            <w:vAlign w:val="center"/>
          </w:tcPr>
          <w:p w14:paraId="3F109339">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第14.1.4条</w:t>
            </w:r>
          </w:p>
        </w:tc>
        <w:tc>
          <w:tcPr>
            <w:tcW w:w="1963" w:type="dxa"/>
            <w:tcBorders>
              <w:top w:val="single" w:color="auto" w:sz="6" w:space="0"/>
              <w:left w:val="single" w:color="auto" w:sz="6" w:space="0"/>
              <w:bottom w:val="single" w:color="auto" w:sz="6" w:space="0"/>
              <w:right w:val="single" w:color="auto" w:sz="6" w:space="0"/>
            </w:tcBorders>
            <w:vAlign w:val="center"/>
          </w:tcPr>
          <w:p w14:paraId="57995B9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加油站内房间均处于爆炸危险区域之外。</w:t>
            </w:r>
          </w:p>
        </w:tc>
        <w:tc>
          <w:tcPr>
            <w:tcW w:w="818" w:type="dxa"/>
            <w:tcBorders>
              <w:top w:val="single" w:color="auto" w:sz="6" w:space="0"/>
              <w:left w:val="single" w:color="auto" w:sz="6" w:space="0"/>
              <w:bottom w:val="single" w:color="auto" w:sz="6" w:space="0"/>
              <w:right w:val="single" w:color="auto" w:sz="6" w:space="0"/>
            </w:tcBorders>
            <w:vAlign w:val="center"/>
          </w:tcPr>
          <w:p w14:paraId="739DD5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0BA7B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14:paraId="03621D1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  建筑物</w:t>
            </w:r>
          </w:p>
        </w:tc>
      </w:tr>
      <w:tr w14:paraId="072F0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3E76B1F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 作业区</w:t>
            </w:r>
            <w:r>
              <w:rPr>
                <w:color w:val="000000" w:themeColor="text1"/>
                <w14:textFill>
                  <w14:solidFill>
                    <w14:schemeClr w14:val="tx1"/>
                  </w14:solidFill>
                </w14:textFill>
              </w:rPr>
              <w:t>内的站房及其它附属建筑物的耐火等级不应低于二级。罩棚顶棚</w:t>
            </w:r>
            <w:r>
              <w:rPr>
                <w:rFonts w:hint="eastAsia"/>
                <w:color w:val="000000" w:themeColor="text1"/>
                <w14:textFill>
                  <w14:solidFill>
                    <w14:schemeClr w14:val="tx1"/>
                  </w14:solidFill>
                </w14:textFill>
              </w:rPr>
              <w:t>可采用无防火保护的钢结构</w:t>
            </w:r>
            <w:r>
              <w:rPr>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14:paraId="44114A67">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第14.2.1条</w:t>
            </w:r>
          </w:p>
        </w:tc>
        <w:tc>
          <w:tcPr>
            <w:tcW w:w="1963" w:type="dxa"/>
            <w:tcBorders>
              <w:top w:val="single" w:color="auto" w:sz="6" w:space="0"/>
              <w:left w:val="single" w:color="auto" w:sz="6" w:space="0"/>
              <w:bottom w:val="single" w:color="auto" w:sz="6" w:space="0"/>
              <w:right w:val="single" w:color="auto" w:sz="6" w:space="0"/>
            </w:tcBorders>
            <w:vAlign w:val="center"/>
          </w:tcPr>
          <w:p w14:paraId="636DBF4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站房和其他</w:t>
            </w:r>
            <w:r>
              <w:rPr>
                <w:color w:val="000000" w:themeColor="text1"/>
                <w14:textFill>
                  <w14:solidFill>
                    <w14:schemeClr w14:val="tx1"/>
                  </w14:solidFill>
                </w14:textFill>
              </w:rPr>
              <w:t>附属建筑物的耐火等级</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二级</w:t>
            </w:r>
          </w:p>
        </w:tc>
        <w:tc>
          <w:tcPr>
            <w:tcW w:w="818" w:type="dxa"/>
            <w:tcBorders>
              <w:top w:val="single" w:color="auto" w:sz="6" w:space="0"/>
              <w:left w:val="single" w:color="auto" w:sz="6" w:space="0"/>
              <w:bottom w:val="single" w:color="auto" w:sz="6" w:space="0"/>
              <w:right w:val="single" w:color="auto" w:sz="6" w:space="0"/>
            </w:tcBorders>
            <w:vAlign w:val="center"/>
          </w:tcPr>
          <w:p w14:paraId="15DBE67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D959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4581DA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4.2汽车加油场地宜设罩棚，罩棚的设计应符合下列规定：（1）罩棚应采用不燃烧材料建造；（2）进站口无限高措施时，罩棚的净空高度不应小于</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；进站口有限高措施时，罩棚的净空高度不应小于限高高度。（3）罩棚遮盖加油机平面投影距离不宜小于2</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color="auto" w:sz="6" w:space="0"/>
              <w:left w:val="single" w:color="auto" w:sz="6" w:space="0"/>
              <w:bottom w:val="single" w:color="auto" w:sz="6" w:space="0"/>
              <w:right w:val="single" w:color="auto" w:sz="6" w:space="0"/>
            </w:tcBorders>
            <w:vAlign w:val="center"/>
          </w:tcPr>
          <w:p w14:paraId="06001021">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第14.2.2条</w:t>
            </w:r>
          </w:p>
        </w:tc>
        <w:tc>
          <w:tcPr>
            <w:tcW w:w="1963" w:type="dxa"/>
            <w:tcBorders>
              <w:top w:val="single" w:color="auto" w:sz="6" w:space="0"/>
              <w:left w:val="single" w:color="auto" w:sz="6" w:space="0"/>
              <w:bottom w:val="single" w:color="auto" w:sz="6" w:space="0"/>
              <w:right w:val="single" w:color="auto" w:sz="6" w:space="0"/>
            </w:tcBorders>
            <w:vAlign w:val="center"/>
          </w:tcPr>
          <w:p w14:paraId="36FD1F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加油站罩棚为钢架结构。</w:t>
            </w:r>
          </w:p>
        </w:tc>
        <w:tc>
          <w:tcPr>
            <w:tcW w:w="818" w:type="dxa"/>
            <w:tcBorders>
              <w:top w:val="single" w:color="auto" w:sz="6" w:space="0"/>
              <w:left w:val="single" w:color="auto" w:sz="6" w:space="0"/>
              <w:bottom w:val="single" w:color="auto" w:sz="6" w:space="0"/>
              <w:right w:val="single" w:color="auto" w:sz="6" w:space="0"/>
            </w:tcBorders>
            <w:vAlign w:val="center"/>
          </w:tcPr>
          <w:p w14:paraId="31F79E9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DD05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31999AC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4.3加油岛的设计应符合下列规定：（1）加油岛应高出停车位的地坪0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0.2m</w:t>
            </w:r>
            <w:r>
              <w:rPr>
                <w:rFonts w:hint="eastAsia"/>
                <w:color w:val="000000" w:themeColor="text1"/>
                <w14:textFill>
                  <w14:solidFill>
                    <w14:schemeClr w14:val="tx1"/>
                  </w14:solidFill>
                </w14:textFill>
              </w:rPr>
              <w:t>。（2）加油岛两端的宽度不应小于</w:t>
            </w:r>
            <w:r>
              <w:rPr>
                <w:color w:val="000000" w:themeColor="text1"/>
                <w14:textFill>
                  <w14:solidFill>
                    <w14:schemeClr w14:val="tx1"/>
                  </w14:solidFill>
                </w14:textFill>
              </w:rPr>
              <w:t>1.2m</w:t>
            </w:r>
            <w:r>
              <w:rPr>
                <w:rFonts w:hint="eastAsia"/>
                <w:color w:val="000000" w:themeColor="text1"/>
                <w14:textFill>
                  <w14:solidFill>
                    <w14:schemeClr w14:val="tx1"/>
                  </w14:solidFill>
                </w14:textFill>
              </w:rPr>
              <w:t>。（3）加油岛上的罩棚立柱边缘距岛端部，不应小于</w:t>
            </w:r>
            <w:r>
              <w:rPr>
                <w:color w:val="000000" w:themeColor="text1"/>
                <w14:textFill>
                  <w14:solidFill>
                    <w14:schemeClr w14:val="tx1"/>
                  </w14:solidFill>
                </w14:textFill>
              </w:rPr>
              <w:t>0.6m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14:paraId="6C3FB386">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第14.2.3条</w:t>
            </w:r>
          </w:p>
        </w:tc>
        <w:tc>
          <w:tcPr>
            <w:tcW w:w="1963" w:type="dxa"/>
            <w:tcBorders>
              <w:top w:val="single" w:color="auto" w:sz="6" w:space="0"/>
              <w:left w:val="single" w:color="auto" w:sz="6" w:space="0"/>
              <w:bottom w:val="single" w:color="auto" w:sz="6" w:space="0"/>
              <w:right w:val="single" w:color="auto" w:sz="6" w:space="0"/>
            </w:tcBorders>
            <w:vAlign w:val="center"/>
          </w:tcPr>
          <w:p w14:paraId="7B6F382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加油岛高0.2m，宽1.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m，加油岛上的罩棚立柱边缘距岛端部</w:t>
            </w:r>
            <w:r>
              <w:rPr>
                <w:rFonts w:hint="eastAsia"/>
                <w:color w:val="000000" w:themeColor="text1"/>
                <w:lang w:val="en-US" w:eastAsia="zh-CN"/>
                <w14:textFill>
                  <w14:solidFill>
                    <w14:schemeClr w14:val="tx1"/>
                  </w14:solidFill>
                </w14:textFill>
              </w:rPr>
              <w:t>0.6</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14:paraId="49E9A77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7109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62DABAB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4.4站房可由办公室、值班室、营业室、控制室、变配电间、卫生间和便利店等组成，站房内可设非明火餐厨设备。</w:t>
            </w:r>
          </w:p>
        </w:tc>
        <w:tc>
          <w:tcPr>
            <w:tcW w:w="1374" w:type="dxa"/>
            <w:tcBorders>
              <w:top w:val="single" w:color="auto" w:sz="6" w:space="0"/>
              <w:left w:val="single" w:color="auto" w:sz="6" w:space="0"/>
              <w:bottom w:val="single" w:color="auto" w:sz="6" w:space="0"/>
              <w:right w:val="single" w:color="auto" w:sz="6" w:space="0"/>
            </w:tcBorders>
            <w:vAlign w:val="center"/>
          </w:tcPr>
          <w:p w14:paraId="3BB45C08">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第14.2.9条</w:t>
            </w:r>
          </w:p>
        </w:tc>
        <w:tc>
          <w:tcPr>
            <w:tcW w:w="1963" w:type="dxa"/>
            <w:tcBorders>
              <w:top w:val="single" w:color="auto" w:sz="6" w:space="0"/>
              <w:left w:val="single" w:color="auto" w:sz="6" w:space="0"/>
              <w:bottom w:val="single" w:color="auto" w:sz="6" w:space="0"/>
              <w:right w:val="single" w:color="auto" w:sz="6" w:space="0"/>
            </w:tcBorders>
            <w:vAlign w:val="center"/>
          </w:tcPr>
          <w:p w14:paraId="4725AA0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站房由</w:t>
            </w:r>
            <w:r>
              <w:rPr>
                <w:rFonts w:hint="eastAsia"/>
                <w:color w:val="000000" w:themeColor="text1"/>
                <w:lang w:val="en-US" w:eastAsia="zh-CN"/>
                <w14:textFill>
                  <w14:solidFill>
                    <w14:schemeClr w14:val="tx1"/>
                  </w14:solidFill>
                </w14:textFill>
              </w:rPr>
              <w:t>收银室、办公室、值班室</w:t>
            </w:r>
            <w:r>
              <w:rPr>
                <w:rFonts w:hint="eastAsia"/>
                <w:color w:val="000000" w:themeColor="text1"/>
                <w14:textFill>
                  <w14:solidFill>
                    <w14:schemeClr w14:val="tx1"/>
                  </w14:solidFill>
                </w14:textFill>
              </w:rPr>
              <w:t>等构成。</w:t>
            </w:r>
          </w:p>
        </w:tc>
        <w:tc>
          <w:tcPr>
            <w:tcW w:w="818" w:type="dxa"/>
            <w:tcBorders>
              <w:top w:val="single" w:color="auto" w:sz="6" w:space="0"/>
              <w:left w:val="single" w:color="auto" w:sz="6" w:space="0"/>
              <w:bottom w:val="single" w:color="auto" w:sz="6" w:space="0"/>
              <w:right w:val="single" w:color="auto" w:sz="6" w:space="0"/>
            </w:tcBorders>
            <w:vAlign w:val="center"/>
          </w:tcPr>
          <w:p w14:paraId="670BCC1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2600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4D0791B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4.5加油站内不应建地下和半地下室。</w:t>
            </w:r>
          </w:p>
        </w:tc>
        <w:tc>
          <w:tcPr>
            <w:tcW w:w="1374" w:type="dxa"/>
            <w:tcBorders>
              <w:top w:val="single" w:color="auto" w:sz="6" w:space="0"/>
              <w:left w:val="single" w:color="auto" w:sz="6" w:space="0"/>
              <w:bottom w:val="single" w:color="auto" w:sz="6" w:space="0"/>
              <w:right w:val="single" w:color="auto" w:sz="6" w:space="0"/>
            </w:tcBorders>
            <w:vAlign w:val="center"/>
          </w:tcPr>
          <w:p w14:paraId="17B6D683">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第14.2.15条</w:t>
            </w:r>
          </w:p>
        </w:tc>
        <w:tc>
          <w:tcPr>
            <w:tcW w:w="1963" w:type="dxa"/>
            <w:tcBorders>
              <w:top w:val="single" w:color="auto" w:sz="6" w:space="0"/>
              <w:left w:val="single" w:color="auto" w:sz="6" w:space="0"/>
              <w:bottom w:val="single" w:color="auto" w:sz="6" w:space="0"/>
              <w:right w:val="single" w:color="auto" w:sz="6" w:space="0"/>
            </w:tcBorders>
            <w:vAlign w:val="center"/>
          </w:tcPr>
          <w:p w14:paraId="69AB04D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加油站内无地下室和半地下室。</w:t>
            </w:r>
          </w:p>
        </w:tc>
        <w:tc>
          <w:tcPr>
            <w:tcW w:w="818" w:type="dxa"/>
            <w:tcBorders>
              <w:top w:val="single" w:color="auto" w:sz="6" w:space="0"/>
              <w:left w:val="single" w:color="auto" w:sz="6" w:space="0"/>
              <w:bottom w:val="single" w:color="auto" w:sz="6" w:space="0"/>
              <w:right w:val="single" w:color="auto" w:sz="6" w:space="0"/>
            </w:tcBorders>
            <w:vAlign w:val="center"/>
          </w:tcPr>
          <w:p w14:paraId="34346DA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BB9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14:paraId="4857B68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  绿化</w:t>
            </w:r>
          </w:p>
        </w:tc>
      </w:tr>
      <w:tr w14:paraId="4214A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14:paraId="63B7039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5.1加油站作业区内不得种植油性植物。</w:t>
            </w:r>
          </w:p>
        </w:tc>
        <w:tc>
          <w:tcPr>
            <w:tcW w:w="1374" w:type="dxa"/>
            <w:tcBorders>
              <w:top w:val="single" w:color="auto" w:sz="6" w:space="0"/>
              <w:left w:val="single" w:color="auto" w:sz="6" w:space="0"/>
              <w:bottom w:val="single" w:color="auto" w:sz="6" w:space="0"/>
              <w:right w:val="single" w:color="auto" w:sz="6" w:space="0"/>
            </w:tcBorders>
            <w:vAlign w:val="center"/>
          </w:tcPr>
          <w:p w14:paraId="594CB96C">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第14.3.1条</w:t>
            </w:r>
          </w:p>
        </w:tc>
        <w:tc>
          <w:tcPr>
            <w:tcW w:w="1963" w:type="dxa"/>
            <w:tcBorders>
              <w:top w:val="single" w:color="auto" w:sz="6" w:space="0"/>
              <w:left w:val="single" w:color="auto" w:sz="6" w:space="0"/>
              <w:bottom w:val="single" w:color="auto" w:sz="6" w:space="0"/>
              <w:right w:val="single" w:color="auto" w:sz="6" w:space="0"/>
            </w:tcBorders>
            <w:vAlign w:val="center"/>
          </w:tcPr>
          <w:p w14:paraId="274ECFA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站内未种植油性植物。</w:t>
            </w:r>
          </w:p>
        </w:tc>
        <w:tc>
          <w:tcPr>
            <w:tcW w:w="818" w:type="dxa"/>
            <w:tcBorders>
              <w:top w:val="single" w:color="auto" w:sz="6" w:space="0"/>
              <w:left w:val="single" w:color="auto" w:sz="6" w:space="0"/>
              <w:bottom w:val="single" w:color="auto" w:sz="6" w:space="0"/>
              <w:right w:val="single" w:color="auto" w:sz="6" w:space="0"/>
            </w:tcBorders>
            <w:vAlign w:val="center"/>
          </w:tcPr>
          <w:p w14:paraId="4833827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3802D009">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公用工程检查结果：</w:t>
      </w:r>
    </w:p>
    <w:p w14:paraId="1031C6D9">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该加油站的公用工程</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14:paraId="6E625EF8">
      <w:pPr>
        <w:pStyle w:val="3"/>
        <w:rPr>
          <w:color w:val="000000" w:themeColor="text1"/>
          <w14:textFill>
            <w14:solidFill>
              <w14:schemeClr w14:val="tx1"/>
            </w14:solidFill>
          </w14:textFill>
        </w:rPr>
      </w:pPr>
      <w:bookmarkStart w:id="394" w:name="_Toc29473"/>
      <w:bookmarkStart w:id="395" w:name="_Toc195176765"/>
      <w:r>
        <w:rPr>
          <w:rFonts w:hint="eastAsia"/>
          <w:color w:val="000000" w:themeColor="text1"/>
          <w14:textFill>
            <w14:solidFill>
              <w14:schemeClr w14:val="tx1"/>
            </w14:solidFill>
          </w14:textFill>
        </w:rPr>
        <w:t>安全设施分析评价</w:t>
      </w:r>
      <w:bookmarkEnd w:id="394"/>
    </w:p>
    <w:p w14:paraId="7F5984EF">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依据《汽车加油加气加氢站技术标准》（GB50156-2021）等规范编制安全检查表对加油站安全设施进行分析评价，检查结果见表6-5。</w:t>
      </w:r>
    </w:p>
    <w:p w14:paraId="66139CAD">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表6-5  安全设施安全检查表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1543"/>
        <w:gridCol w:w="2118"/>
        <w:gridCol w:w="766"/>
      </w:tblGrid>
      <w:tr w14:paraId="76204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644" w:type="dxa"/>
            <w:tcBorders>
              <w:top w:val="single" w:color="auto" w:sz="4" w:space="0"/>
              <w:left w:val="single" w:color="auto" w:sz="4" w:space="0"/>
              <w:bottom w:val="single" w:color="auto" w:sz="4" w:space="0"/>
              <w:right w:val="single" w:color="auto" w:sz="4" w:space="0"/>
            </w:tcBorders>
            <w:vAlign w:val="center"/>
          </w:tcPr>
          <w:p w14:paraId="1476EC15">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43" w:type="dxa"/>
            <w:tcBorders>
              <w:top w:val="single" w:color="auto" w:sz="4" w:space="0"/>
              <w:left w:val="single" w:color="auto" w:sz="4" w:space="0"/>
              <w:bottom w:val="single" w:color="auto" w:sz="4" w:space="0"/>
              <w:right w:val="single" w:color="auto" w:sz="4" w:space="0"/>
            </w:tcBorders>
            <w:vAlign w:val="center"/>
          </w:tcPr>
          <w:p w14:paraId="2C88344D">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118" w:type="dxa"/>
            <w:tcBorders>
              <w:top w:val="single" w:color="auto" w:sz="4" w:space="0"/>
              <w:left w:val="single" w:color="auto" w:sz="4" w:space="0"/>
              <w:bottom w:val="single" w:color="auto" w:sz="4" w:space="0"/>
              <w:right w:val="single" w:color="auto" w:sz="4" w:space="0"/>
            </w:tcBorders>
            <w:vAlign w:val="center"/>
          </w:tcPr>
          <w:p w14:paraId="7DC8CDC2">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66" w:type="dxa"/>
            <w:tcBorders>
              <w:top w:val="single" w:color="auto" w:sz="4" w:space="0"/>
              <w:left w:val="single" w:color="auto" w:sz="4" w:space="0"/>
              <w:bottom w:val="single" w:color="auto" w:sz="4" w:space="0"/>
              <w:right w:val="single" w:color="auto" w:sz="4" w:space="0"/>
            </w:tcBorders>
            <w:vAlign w:val="center"/>
          </w:tcPr>
          <w:p w14:paraId="25429995">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14:paraId="445C2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14:paraId="4BB668BB">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灭火器材配置</w:t>
            </w:r>
          </w:p>
        </w:tc>
      </w:tr>
      <w:tr w14:paraId="41743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14:paraId="01F07F58">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.1加油站的灭火器材配置应符合下列规定：（1）每2台加油机应配置不少于2具5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手提式干粉灭火器，或1具5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手提式干粉灭火器和1具6L泡沫灭火器。加油机不足2台应按2台配置。（3）地下储罐应配置1台不小于35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推车式干粉灭火器。当两种介质储罐之间的距离超过15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时，应分别配置。（4）</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级加油站应配置灭火毯</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块、沙子2</w:t>
            </w:r>
            <w:r>
              <w:rPr>
                <w:color w:val="000000" w:themeColor="text1"/>
                <w14:textFill>
                  <w14:solidFill>
                    <w14:schemeClr w14:val="tx1"/>
                  </w14:solidFill>
                </w14:textFill>
              </w:rPr>
              <w:t>m³</w:t>
            </w:r>
            <w:r>
              <w:rPr>
                <w:rFonts w:hint="eastAsia"/>
                <w:color w:val="000000" w:themeColor="text1"/>
                <w14:textFill>
                  <w14:solidFill>
                    <w14:schemeClr w14:val="tx1"/>
                  </w14:solidFill>
                </w14:textFill>
              </w:rPr>
              <w:t>。加油站应按同级别的加油站配置灭火毯和沙子。</w:t>
            </w:r>
          </w:p>
        </w:tc>
        <w:tc>
          <w:tcPr>
            <w:tcW w:w="1543" w:type="dxa"/>
            <w:tcBorders>
              <w:top w:val="single" w:color="auto" w:sz="6" w:space="0"/>
              <w:left w:val="single" w:color="auto" w:sz="6" w:space="0"/>
              <w:right w:val="single" w:color="auto" w:sz="6" w:space="0"/>
            </w:tcBorders>
            <w:vAlign w:val="center"/>
          </w:tcPr>
          <w:p w14:paraId="425DB840">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第12.1.1条</w:t>
            </w:r>
          </w:p>
        </w:tc>
        <w:tc>
          <w:tcPr>
            <w:tcW w:w="2118" w:type="dxa"/>
            <w:tcBorders>
              <w:top w:val="single" w:color="auto" w:sz="6" w:space="0"/>
              <w:left w:val="single" w:color="auto" w:sz="6" w:space="0"/>
              <w:right w:val="single" w:color="auto" w:sz="6" w:space="0"/>
            </w:tcBorders>
            <w:vAlign w:val="center"/>
          </w:tcPr>
          <w:p w14:paraId="5842C39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加油站设置了</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台加油机，加油站按要求配置了消防器材。</w:t>
            </w:r>
          </w:p>
        </w:tc>
        <w:tc>
          <w:tcPr>
            <w:tcW w:w="766" w:type="dxa"/>
            <w:tcBorders>
              <w:top w:val="single" w:color="auto" w:sz="6" w:space="0"/>
              <w:left w:val="single" w:color="auto" w:sz="6" w:space="0"/>
              <w:right w:val="single" w:color="auto" w:sz="6" w:space="0"/>
            </w:tcBorders>
            <w:vAlign w:val="center"/>
          </w:tcPr>
          <w:p w14:paraId="2F4B43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BBC4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14:paraId="3073839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1.2其余建筑的灭火器配置，应符合现行国家标准《建筑灭火器配置设计规范》GB 50140的有关规定。</w:t>
            </w:r>
          </w:p>
        </w:tc>
        <w:tc>
          <w:tcPr>
            <w:tcW w:w="1543" w:type="dxa"/>
            <w:tcBorders>
              <w:top w:val="single" w:color="auto" w:sz="6" w:space="0"/>
              <w:left w:val="single" w:color="auto" w:sz="6" w:space="0"/>
              <w:right w:val="single" w:color="auto" w:sz="6" w:space="0"/>
            </w:tcBorders>
            <w:vAlign w:val="center"/>
          </w:tcPr>
          <w:p w14:paraId="23CA2DF3">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第12.1.2条</w:t>
            </w:r>
          </w:p>
        </w:tc>
        <w:tc>
          <w:tcPr>
            <w:tcW w:w="2118" w:type="dxa"/>
            <w:tcBorders>
              <w:top w:val="single" w:color="auto" w:sz="6" w:space="0"/>
              <w:left w:val="single" w:color="auto" w:sz="6" w:space="0"/>
              <w:right w:val="single" w:color="auto" w:sz="6" w:space="0"/>
            </w:tcBorders>
            <w:vAlign w:val="center"/>
          </w:tcPr>
          <w:p w14:paraId="0F6D78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站房、辅房内均配置有灭火器材。</w:t>
            </w:r>
          </w:p>
        </w:tc>
        <w:tc>
          <w:tcPr>
            <w:tcW w:w="766" w:type="dxa"/>
            <w:tcBorders>
              <w:top w:val="single" w:color="auto" w:sz="6" w:space="0"/>
              <w:left w:val="single" w:color="auto" w:sz="6" w:space="0"/>
              <w:right w:val="single" w:color="auto" w:sz="6" w:space="0"/>
            </w:tcBorders>
            <w:vAlign w:val="center"/>
          </w:tcPr>
          <w:p w14:paraId="54882E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8FFC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14:paraId="261C0D79">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防雷防静电设施</w:t>
            </w:r>
          </w:p>
        </w:tc>
      </w:tr>
      <w:tr w14:paraId="285A0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465B5AD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2.1加油站的防雷接地、防静电接地、电气设备的工作接地、保护接地及信息系统的接地等宜共用接地装置，接地电阻不应大于4Ω。</w:t>
            </w:r>
          </w:p>
        </w:tc>
        <w:tc>
          <w:tcPr>
            <w:tcW w:w="1543" w:type="dxa"/>
            <w:tcBorders>
              <w:top w:val="single" w:color="auto" w:sz="6" w:space="0"/>
              <w:left w:val="single" w:color="auto" w:sz="6" w:space="0"/>
              <w:bottom w:val="single" w:color="auto" w:sz="6" w:space="0"/>
              <w:right w:val="single" w:color="auto" w:sz="6" w:space="0"/>
            </w:tcBorders>
            <w:vAlign w:val="center"/>
          </w:tcPr>
          <w:p w14:paraId="7FC69437">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第13.2.2条</w:t>
            </w:r>
          </w:p>
        </w:tc>
        <w:tc>
          <w:tcPr>
            <w:tcW w:w="2118" w:type="dxa"/>
            <w:tcBorders>
              <w:top w:val="single" w:color="auto" w:sz="6" w:space="0"/>
              <w:left w:val="single" w:color="auto" w:sz="6" w:space="0"/>
              <w:bottom w:val="single" w:color="auto" w:sz="6" w:space="0"/>
              <w:right w:val="single" w:color="auto" w:sz="6" w:space="0"/>
            </w:tcBorders>
            <w:vAlign w:val="center"/>
          </w:tcPr>
          <w:p w14:paraId="2C5C30D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加油站防雷防静电设施满足要求。</w:t>
            </w:r>
          </w:p>
        </w:tc>
        <w:tc>
          <w:tcPr>
            <w:tcW w:w="766" w:type="dxa"/>
            <w:tcBorders>
              <w:top w:val="single" w:color="auto" w:sz="6" w:space="0"/>
              <w:left w:val="single" w:color="auto" w:sz="6" w:space="0"/>
              <w:bottom w:val="single" w:color="auto" w:sz="6" w:space="0"/>
              <w:right w:val="single" w:color="auto" w:sz="6" w:space="0"/>
            </w:tcBorders>
            <w:vAlign w:val="center"/>
          </w:tcPr>
          <w:p w14:paraId="07DD7A1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0419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7A14B85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2.2当加油站内的站房和罩棚等建筑物需要防直击雷时，应采用避雷带（网）保护。当罩棚采用金属屋面时，宜利用屋面作为接闪器。</w:t>
            </w:r>
          </w:p>
        </w:tc>
        <w:tc>
          <w:tcPr>
            <w:tcW w:w="1543" w:type="dxa"/>
            <w:tcBorders>
              <w:top w:val="single" w:color="auto" w:sz="6" w:space="0"/>
              <w:left w:val="single" w:color="auto" w:sz="6" w:space="0"/>
              <w:bottom w:val="single" w:color="auto" w:sz="6" w:space="0"/>
              <w:right w:val="single" w:color="auto" w:sz="6" w:space="0"/>
            </w:tcBorders>
            <w:vAlign w:val="center"/>
          </w:tcPr>
          <w:p w14:paraId="653245B0">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第13.2.6条</w:t>
            </w:r>
          </w:p>
        </w:tc>
        <w:tc>
          <w:tcPr>
            <w:tcW w:w="2118" w:type="dxa"/>
            <w:tcBorders>
              <w:top w:val="single" w:color="auto" w:sz="6" w:space="0"/>
              <w:left w:val="single" w:color="auto" w:sz="6" w:space="0"/>
              <w:bottom w:val="single" w:color="auto" w:sz="6" w:space="0"/>
              <w:right w:val="single" w:color="auto" w:sz="6" w:space="0"/>
            </w:tcBorders>
            <w:vAlign w:val="center"/>
          </w:tcPr>
          <w:p w14:paraId="15CB8FE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罩棚利用钢屋面，由柱筋接地。站房利用屋面接闪带作为防直击雷措施。</w:t>
            </w:r>
          </w:p>
        </w:tc>
        <w:tc>
          <w:tcPr>
            <w:tcW w:w="766" w:type="dxa"/>
            <w:tcBorders>
              <w:top w:val="single" w:color="auto" w:sz="6" w:space="0"/>
              <w:left w:val="single" w:color="auto" w:sz="6" w:space="0"/>
              <w:bottom w:val="single" w:color="auto" w:sz="6" w:space="0"/>
              <w:right w:val="single" w:color="auto" w:sz="6" w:space="0"/>
            </w:tcBorders>
            <w:vAlign w:val="center"/>
          </w:tcPr>
          <w:p w14:paraId="56AB879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8D25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68C71F08">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3加油站的信息系统应采用铠装电缆或导线穿钢管配线。配线电缆金属外皮两端、保护钢管两端均应接地。</w:t>
            </w:r>
          </w:p>
        </w:tc>
        <w:tc>
          <w:tcPr>
            <w:tcW w:w="1543" w:type="dxa"/>
            <w:tcBorders>
              <w:top w:val="single" w:color="auto" w:sz="6" w:space="0"/>
              <w:left w:val="single" w:color="auto" w:sz="6" w:space="0"/>
              <w:bottom w:val="single" w:color="auto" w:sz="6" w:space="0"/>
              <w:right w:val="single" w:color="auto" w:sz="6" w:space="0"/>
            </w:tcBorders>
            <w:vAlign w:val="center"/>
          </w:tcPr>
          <w:p w14:paraId="4DDC86AB">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第13.2.7条</w:t>
            </w:r>
          </w:p>
        </w:tc>
        <w:tc>
          <w:tcPr>
            <w:tcW w:w="2118" w:type="dxa"/>
            <w:tcBorders>
              <w:top w:val="single" w:color="auto" w:sz="6" w:space="0"/>
              <w:left w:val="single" w:color="auto" w:sz="6" w:space="0"/>
              <w:bottom w:val="single" w:color="auto" w:sz="6" w:space="0"/>
              <w:right w:val="single" w:color="auto" w:sz="6" w:space="0"/>
            </w:tcBorders>
            <w:vAlign w:val="center"/>
          </w:tcPr>
          <w:p w14:paraId="4F7888F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w:t>
            </w:r>
            <w:r>
              <w:rPr>
                <w:color w:val="000000" w:themeColor="text1"/>
                <w14:textFill>
                  <w14:solidFill>
                    <w14:schemeClr w14:val="tx1"/>
                  </w14:solidFill>
                </w14:textFill>
              </w:rPr>
              <w:t>信息系统</w:t>
            </w:r>
            <w:r>
              <w:rPr>
                <w:rFonts w:hint="eastAsia"/>
                <w:color w:val="000000" w:themeColor="text1"/>
                <w14:textFill>
                  <w14:solidFill>
                    <w14:schemeClr w14:val="tx1"/>
                  </w14:solidFill>
                </w14:textFill>
              </w:rPr>
              <w:t>采用穿钢管配线，保护钢管两端已接地。</w:t>
            </w:r>
          </w:p>
        </w:tc>
        <w:tc>
          <w:tcPr>
            <w:tcW w:w="766" w:type="dxa"/>
            <w:tcBorders>
              <w:top w:val="single" w:color="auto" w:sz="6" w:space="0"/>
              <w:left w:val="single" w:color="auto" w:sz="6" w:space="0"/>
              <w:bottom w:val="single" w:color="auto" w:sz="6" w:space="0"/>
              <w:right w:val="single" w:color="auto" w:sz="6" w:space="0"/>
            </w:tcBorders>
            <w:vAlign w:val="center"/>
          </w:tcPr>
          <w:p w14:paraId="2EB1023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FD88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6F6BB08A">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4加油站信息系统的配电线路首、末端与电子器件连接时，应装设与电子器件耐压水平相适应的过电压（电涌）保护器。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14:paraId="3FE6C535">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第13.2.8条</w:t>
            </w:r>
          </w:p>
        </w:tc>
        <w:tc>
          <w:tcPr>
            <w:tcW w:w="2118" w:type="dxa"/>
            <w:tcBorders>
              <w:top w:val="single" w:color="auto" w:sz="6" w:space="0"/>
              <w:left w:val="single" w:color="auto" w:sz="6" w:space="0"/>
              <w:bottom w:val="single" w:color="auto" w:sz="6" w:space="0"/>
              <w:right w:val="single" w:color="auto" w:sz="6" w:space="0"/>
            </w:tcBorders>
            <w:vAlign w:val="center"/>
          </w:tcPr>
          <w:p w14:paraId="71ADB9E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加油站信息系统按照规范设置有保护器。</w:t>
            </w:r>
          </w:p>
        </w:tc>
        <w:tc>
          <w:tcPr>
            <w:tcW w:w="766" w:type="dxa"/>
            <w:tcBorders>
              <w:top w:val="single" w:color="auto" w:sz="6" w:space="0"/>
              <w:left w:val="single" w:color="auto" w:sz="6" w:space="0"/>
              <w:bottom w:val="single" w:color="auto" w:sz="6" w:space="0"/>
              <w:right w:val="single" w:color="auto" w:sz="6" w:space="0"/>
            </w:tcBorders>
            <w:vAlign w:val="center"/>
          </w:tcPr>
          <w:p w14:paraId="7B8DBA5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7F73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4C1A7D6B">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.5 </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供配电系统宜采用</w:t>
            </w:r>
            <w:r>
              <w:rPr>
                <w:color w:val="000000" w:themeColor="text1"/>
                <w14:textFill>
                  <w14:solidFill>
                    <w14:schemeClr w14:val="tx1"/>
                  </w14:solidFill>
                </w14:textFill>
              </w:rPr>
              <w:t>TN-S</w:t>
            </w:r>
            <w:r>
              <w:rPr>
                <w:rFonts w:hint="eastAsia"/>
                <w:color w:val="000000" w:themeColor="text1"/>
                <w14:textFill>
                  <w14:solidFill>
                    <w14:schemeClr w14:val="tx1"/>
                  </w14:solidFill>
                </w14:textFill>
              </w:rPr>
              <w:t>系统，供电系统的电缆金属外皮或电缆金属保护管两端均应接地，在供配电系统的电源端应安装与设备耐压水平相适应的过电压（电涌）保护器。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14:paraId="73DDED2E">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第13.2.9条</w:t>
            </w:r>
          </w:p>
        </w:tc>
        <w:tc>
          <w:tcPr>
            <w:tcW w:w="2118" w:type="dxa"/>
            <w:tcBorders>
              <w:top w:val="single" w:color="auto" w:sz="6" w:space="0"/>
              <w:left w:val="single" w:color="auto" w:sz="6" w:space="0"/>
              <w:bottom w:val="single" w:color="auto" w:sz="6" w:space="0"/>
              <w:right w:val="single" w:color="auto" w:sz="6" w:space="0"/>
            </w:tcBorders>
            <w:vAlign w:val="center"/>
          </w:tcPr>
          <w:p w14:paraId="6E98039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供配电系统的电源安装了电涌保护器。</w:t>
            </w:r>
          </w:p>
        </w:tc>
        <w:tc>
          <w:tcPr>
            <w:tcW w:w="766" w:type="dxa"/>
            <w:tcBorders>
              <w:top w:val="single" w:color="auto" w:sz="6" w:space="0"/>
              <w:left w:val="single" w:color="auto" w:sz="6" w:space="0"/>
              <w:bottom w:val="single" w:color="auto" w:sz="6" w:space="0"/>
              <w:right w:val="single" w:color="auto" w:sz="6" w:space="0"/>
            </w:tcBorders>
            <w:vAlign w:val="center"/>
          </w:tcPr>
          <w:p w14:paraId="62C522A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F083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51B9B08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2.6加油站的汽油罐车卸车场地，应设卸车时用的防静电接地装置，并应设置能检测跨接线及监视接地装置状态的静电接地仪。</w:t>
            </w:r>
          </w:p>
        </w:tc>
        <w:tc>
          <w:tcPr>
            <w:tcW w:w="1543" w:type="dxa"/>
            <w:tcBorders>
              <w:top w:val="single" w:color="auto" w:sz="6" w:space="0"/>
              <w:left w:val="single" w:color="auto" w:sz="6" w:space="0"/>
              <w:bottom w:val="single" w:color="auto" w:sz="6" w:space="0"/>
              <w:right w:val="single" w:color="auto" w:sz="6" w:space="0"/>
            </w:tcBorders>
            <w:vAlign w:val="center"/>
          </w:tcPr>
          <w:p w14:paraId="44DD9AE4">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第13.2.11条</w:t>
            </w:r>
          </w:p>
        </w:tc>
        <w:tc>
          <w:tcPr>
            <w:tcW w:w="2118" w:type="dxa"/>
            <w:tcBorders>
              <w:top w:val="single" w:color="auto" w:sz="6" w:space="0"/>
              <w:left w:val="single" w:color="auto" w:sz="6" w:space="0"/>
              <w:bottom w:val="single" w:color="auto" w:sz="6" w:space="0"/>
              <w:right w:val="single" w:color="auto" w:sz="6" w:space="0"/>
            </w:tcBorders>
            <w:vAlign w:val="center"/>
          </w:tcPr>
          <w:p w14:paraId="7CA42D1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卸油区已安装静电接地报警仪。</w:t>
            </w:r>
          </w:p>
        </w:tc>
        <w:tc>
          <w:tcPr>
            <w:tcW w:w="766" w:type="dxa"/>
            <w:tcBorders>
              <w:top w:val="single" w:color="auto" w:sz="6" w:space="0"/>
              <w:left w:val="single" w:color="auto" w:sz="6" w:space="0"/>
              <w:bottom w:val="single" w:color="auto" w:sz="6" w:space="0"/>
              <w:right w:val="single" w:color="auto" w:sz="6" w:space="0"/>
            </w:tcBorders>
            <w:vAlign w:val="center"/>
          </w:tcPr>
          <w:p w14:paraId="223F1CE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E90D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1C45B5B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2.7在爆炸危险区域内工艺管道上的法兰、胶管两端等连接处，应用金属线跨接。当法兰的连接螺栓不少于</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根时，在非腐蚀环境下可不跨接。</w:t>
            </w:r>
          </w:p>
        </w:tc>
        <w:tc>
          <w:tcPr>
            <w:tcW w:w="1543" w:type="dxa"/>
            <w:tcBorders>
              <w:top w:val="single" w:color="auto" w:sz="6" w:space="0"/>
              <w:left w:val="single" w:color="auto" w:sz="6" w:space="0"/>
              <w:bottom w:val="single" w:color="auto" w:sz="6" w:space="0"/>
              <w:right w:val="single" w:color="auto" w:sz="6" w:space="0"/>
            </w:tcBorders>
            <w:vAlign w:val="center"/>
          </w:tcPr>
          <w:p w14:paraId="61F538FD">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第13.2.12条</w:t>
            </w:r>
          </w:p>
        </w:tc>
        <w:tc>
          <w:tcPr>
            <w:tcW w:w="2118" w:type="dxa"/>
            <w:tcBorders>
              <w:top w:val="single" w:color="auto" w:sz="6" w:space="0"/>
              <w:left w:val="single" w:color="auto" w:sz="6" w:space="0"/>
              <w:bottom w:val="single" w:color="auto" w:sz="6" w:space="0"/>
              <w:right w:val="single" w:color="auto" w:sz="6" w:space="0"/>
            </w:tcBorders>
            <w:vAlign w:val="center"/>
          </w:tcPr>
          <w:p w14:paraId="13ABDA3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油品管道的法兰两端采用铜片跨接。</w:t>
            </w:r>
          </w:p>
        </w:tc>
        <w:tc>
          <w:tcPr>
            <w:tcW w:w="766" w:type="dxa"/>
            <w:tcBorders>
              <w:top w:val="single" w:color="auto" w:sz="6" w:space="0"/>
              <w:left w:val="single" w:color="auto" w:sz="6" w:space="0"/>
              <w:bottom w:val="single" w:color="auto" w:sz="6" w:space="0"/>
              <w:right w:val="single" w:color="auto" w:sz="6" w:space="0"/>
            </w:tcBorders>
            <w:vAlign w:val="center"/>
          </w:tcPr>
          <w:p w14:paraId="4D5359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770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4046F94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2.8防静电接地装置的接地电阻不应大于100Ω。</w:t>
            </w:r>
          </w:p>
        </w:tc>
        <w:tc>
          <w:tcPr>
            <w:tcW w:w="1543" w:type="dxa"/>
            <w:tcBorders>
              <w:top w:val="single" w:color="auto" w:sz="6" w:space="0"/>
              <w:left w:val="single" w:color="auto" w:sz="6" w:space="0"/>
              <w:bottom w:val="single" w:color="auto" w:sz="6" w:space="0"/>
              <w:right w:val="single" w:color="auto" w:sz="6" w:space="0"/>
            </w:tcBorders>
            <w:vAlign w:val="center"/>
          </w:tcPr>
          <w:p w14:paraId="123659E9">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第13.2.15条</w:t>
            </w:r>
          </w:p>
        </w:tc>
        <w:tc>
          <w:tcPr>
            <w:tcW w:w="2118" w:type="dxa"/>
            <w:tcBorders>
              <w:top w:val="single" w:color="auto" w:sz="6" w:space="0"/>
              <w:left w:val="single" w:color="auto" w:sz="6" w:space="0"/>
              <w:bottom w:val="single" w:color="auto" w:sz="6" w:space="0"/>
              <w:right w:val="single" w:color="auto" w:sz="6" w:space="0"/>
            </w:tcBorders>
            <w:vAlign w:val="center"/>
          </w:tcPr>
          <w:p w14:paraId="593F2FA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防静电接地装置电阻满足要求。</w:t>
            </w:r>
          </w:p>
        </w:tc>
        <w:tc>
          <w:tcPr>
            <w:tcW w:w="766" w:type="dxa"/>
            <w:tcBorders>
              <w:top w:val="single" w:color="auto" w:sz="6" w:space="0"/>
              <w:left w:val="single" w:color="auto" w:sz="6" w:space="0"/>
              <w:bottom w:val="single" w:color="auto" w:sz="6" w:space="0"/>
              <w:right w:val="single" w:color="auto" w:sz="6" w:space="0"/>
            </w:tcBorders>
            <w:vAlign w:val="center"/>
          </w:tcPr>
          <w:p w14:paraId="20BD591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3B22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14:paraId="2319FC1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安全标志</w:t>
            </w:r>
          </w:p>
        </w:tc>
      </w:tr>
      <w:tr w14:paraId="23988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198F1E0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作业区按GB/T 2893.5GB 2894、GB13495.1、</w:t>
            </w:r>
            <w:r>
              <w:rPr>
                <w:color w:val="000000" w:themeColor="text1"/>
                <w14:textFill>
                  <w14:solidFill>
                    <w14:schemeClr w14:val="tx1"/>
                  </w14:solidFill>
                </w14:textFill>
              </w:rPr>
              <w:t>GB15630</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规定设置安全标志</w:t>
            </w:r>
            <w:r>
              <w:rPr>
                <w:rFonts w:hint="eastAsia"/>
                <w:color w:val="000000" w:themeColor="text1"/>
                <w14:textFill>
                  <w14:solidFill>
                    <w14:schemeClr w14:val="tx1"/>
                  </w14:solidFill>
                </w14:textFill>
              </w:rPr>
              <w:t>和安全色</w:t>
            </w:r>
            <w:r>
              <w:rPr>
                <w:color w:val="000000" w:themeColor="text1"/>
                <w14:textFill>
                  <w14:solidFill>
                    <w14:schemeClr w14:val="tx1"/>
                  </w14:solidFill>
                </w14:textFill>
              </w:rPr>
              <w:t>。</w:t>
            </w:r>
          </w:p>
        </w:tc>
        <w:tc>
          <w:tcPr>
            <w:tcW w:w="1543" w:type="dxa"/>
            <w:tcBorders>
              <w:top w:val="single" w:color="auto" w:sz="6" w:space="0"/>
              <w:left w:val="single" w:color="auto" w:sz="6" w:space="0"/>
              <w:bottom w:val="single" w:color="auto" w:sz="6" w:space="0"/>
              <w:right w:val="single" w:color="auto" w:sz="6" w:space="0"/>
            </w:tcBorders>
            <w:vAlign w:val="center"/>
          </w:tcPr>
          <w:p w14:paraId="6DD5CE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AQ 3010-2022第4.4条</w:t>
            </w:r>
          </w:p>
        </w:tc>
        <w:tc>
          <w:tcPr>
            <w:tcW w:w="2118" w:type="dxa"/>
            <w:tcBorders>
              <w:top w:val="single" w:color="auto" w:sz="6" w:space="0"/>
              <w:left w:val="single" w:color="auto" w:sz="6" w:space="0"/>
              <w:bottom w:val="single" w:color="auto" w:sz="6" w:space="0"/>
              <w:right w:val="single" w:color="auto" w:sz="6" w:space="0"/>
            </w:tcBorders>
            <w:vAlign w:val="center"/>
          </w:tcPr>
          <w:p w14:paraId="7E07BF1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作业区按规范设置安全警示标志。</w:t>
            </w:r>
          </w:p>
        </w:tc>
        <w:tc>
          <w:tcPr>
            <w:tcW w:w="766" w:type="dxa"/>
            <w:tcBorders>
              <w:top w:val="single" w:color="auto" w:sz="6" w:space="0"/>
              <w:left w:val="single" w:color="auto" w:sz="6" w:space="0"/>
              <w:bottom w:val="single" w:color="auto" w:sz="6" w:space="0"/>
              <w:right w:val="single" w:color="auto" w:sz="6" w:space="0"/>
            </w:tcBorders>
            <w:vAlign w:val="center"/>
          </w:tcPr>
          <w:p w14:paraId="0C9C477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2F29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14:paraId="071F25F5">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4  </w:t>
            </w:r>
            <w:r>
              <w:rPr>
                <w:rFonts w:hint="eastAsia"/>
                <w:color w:val="000000" w:themeColor="text1"/>
                <w14:textFill>
                  <w14:solidFill>
                    <w14:schemeClr w14:val="tx1"/>
                  </w14:solidFill>
                </w14:textFill>
              </w:rPr>
              <w:t>紧急切断系统</w:t>
            </w:r>
          </w:p>
        </w:tc>
      </w:tr>
      <w:tr w14:paraId="41F29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14:paraId="734CCF6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加油站应设置紧急切断系统，该系统能在事故状态迅速切断加油泵。</w:t>
            </w:r>
          </w:p>
        </w:tc>
        <w:tc>
          <w:tcPr>
            <w:tcW w:w="1543" w:type="dxa"/>
            <w:tcBorders>
              <w:top w:val="single" w:color="auto" w:sz="6" w:space="0"/>
              <w:left w:val="single" w:color="auto" w:sz="6" w:space="0"/>
              <w:bottom w:val="single" w:color="auto" w:sz="6" w:space="0"/>
              <w:right w:val="single" w:color="auto" w:sz="6" w:space="0"/>
            </w:tcBorders>
            <w:vAlign w:val="center"/>
          </w:tcPr>
          <w:p w14:paraId="73651B8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GB50156-2021第13.5.1条</w:t>
            </w:r>
          </w:p>
        </w:tc>
        <w:tc>
          <w:tcPr>
            <w:tcW w:w="2118" w:type="dxa"/>
            <w:tcBorders>
              <w:top w:val="single" w:color="auto" w:sz="6" w:space="0"/>
              <w:left w:val="single" w:color="auto" w:sz="6" w:space="0"/>
              <w:bottom w:val="single" w:color="auto" w:sz="6" w:space="0"/>
              <w:right w:val="single" w:color="auto" w:sz="6" w:space="0"/>
            </w:tcBorders>
            <w:vAlign w:val="center"/>
          </w:tcPr>
          <w:p w14:paraId="1E9CE4D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已在</w:t>
            </w:r>
            <w:r>
              <w:rPr>
                <w:rFonts w:hint="eastAsia"/>
                <w:color w:val="000000" w:themeColor="text1"/>
                <w:lang w:val="en-US" w:eastAsia="zh-CN"/>
                <w14:textFill>
                  <w14:solidFill>
                    <w14:schemeClr w14:val="tx1"/>
                  </w14:solidFill>
                </w14:textFill>
              </w:rPr>
              <w:t>办公</w:t>
            </w:r>
            <w:r>
              <w:rPr>
                <w:rFonts w:hint="eastAsia"/>
                <w:color w:val="000000" w:themeColor="text1"/>
                <w14:textFill>
                  <w14:solidFill>
                    <w14:schemeClr w14:val="tx1"/>
                  </w14:solidFill>
                </w14:textFill>
              </w:rPr>
              <w:t>室设置急停开关。</w:t>
            </w:r>
          </w:p>
        </w:tc>
        <w:tc>
          <w:tcPr>
            <w:tcW w:w="766" w:type="dxa"/>
            <w:tcBorders>
              <w:top w:val="single" w:color="auto" w:sz="6" w:space="0"/>
              <w:left w:val="single" w:color="auto" w:sz="6" w:space="0"/>
              <w:bottom w:val="single" w:color="auto" w:sz="6" w:space="0"/>
              <w:right w:val="single" w:color="auto" w:sz="6" w:space="0"/>
            </w:tcBorders>
            <w:vAlign w:val="center"/>
          </w:tcPr>
          <w:p w14:paraId="36E1557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1F2B0BA8">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安全设施检查结果：</w:t>
      </w:r>
    </w:p>
    <w:p w14:paraId="706F4ADC">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通过对加油站配置的防火、防爆、防触电、防雷防静电、防车辆伤害、安全警示标志等安全设施进行检查，该加油站安全设施的设置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《汽车加油加气加氢站技术标准》（GB50156-2021）等相关规范的要求。</w:t>
      </w:r>
    </w:p>
    <w:p w14:paraId="5800D7E3">
      <w:pPr>
        <w:pStyle w:val="3"/>
        <w:rPr>
          <w:color w:val="000000" w:themeColor="text1"/>
          <w14:textFill>
            <w14:solidFill>
              <w14:schemeClr w14:val="tx1"/>
            </w14:solidFill>
          </w14:textFill>
        </w:rPr>
      </w:pPr>
      <w:bookmarkStart w:id="396" w:name="_Toc8898"/>
      <w:r>
        <w:rPr>
          <w:rFonts w:hint="eastAsia"/>
          <w:color w:val="000000" w:themeColor="text1"/>
          <w14:textFill>
            <w14:solidFill>
              <w14:schemeClr w14:val="tx1"/>
            </w14:solidFill>
          </w14:textFill>
        </w:rPr>
        <w:t>安全管理分析</w:t>
      </w:r>
      <w:bookmarkEnd w:id="395"/>
      <w:r>
        <w:rPr>
          <w:rFonts w:hint="eastAsia"/>
          <w:color w:val="000000" w:themeColor="text1"/>
          <w14:textFill>
            <w14:solidFill>
              <w14:schemeClr w14:val="tx1"/>
            </w14:solidFill>
          </w14:textFill>
        </w:rPr>
        <w:t>评价</w:t>
      </w:r>
      <w:bookmarkEnd w:id="396"/>
    </w:p>
    <w:p w14:paraId="303A1459">
      <w:pPr>
        <w:rPr>
          <w:color w:val="000000" w:themeColor="text1"/>
          <w14:textFill>
            <w14:solidFill>
              <w14:schemeClr w14:val="tx1"/>
            </w14:solidFill>
          </w14:textFill>
        </w:rPr>
      </w:pPr>
      <w:bookmarkStart w:id="397" w:name="_Toc195176766"/>
      <w:r>
        <w:rPr>
          <w:rFonts w:hint="eastAsia"/>
          <w:color w:val="000000" w:themeColor="text1"/>
          <w14:textFill>
            <w14:solidFill>
              <w14:schemeClr w14:val="tx1"/>
            </w14:solidFill>
          </w14:textFill>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14:paraId="614D6A74">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表6-6 安全管理安全检查表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426"/>
        <w:gridCol w:w="1744"/>
        <w:gridCol w:w="1792"/>
        <w:gridCol w:w="644"/>
      </w:tblGrid>
      <w:tr w14:paraId="324E5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891" w:type="dxa"/>
            <w:gridSpan w:val="2"/>
            <w:vAlign w:val="center"/>
          </w:tcPr>
          <w:p w14:paraId="3A8F2DC6">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检查内容</w:t>
            </w:r>
          </w:p>
        </w:tc>
        <w:tc>
          <w:tcPr>
            <w:tcW w:w="1744" w:type="dxa"/>
            <w:vAlign w:val="center"/>
          </w:tcPr>
          <w:p w14:paraId="07C8B591">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检查依据</w:t>
            </w:r>
          </w:p>
        </w:tc>
        <w:tc>
          <w:tcPr>
            <w:tcW w:w="1792" w:type="dxa"/>
            <w:vAlign w:val="center"/>
          </w:tcPr>
          <w:p w14:paraId="5FD8B1F2">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检查情况说明</w:t>
            </w:r>
          </w:p>
        </w:tc>
        <w:tc>
          <w:tcPr>
            <w:tcW w:w="644" w:type="dxa"/>
            <w:vAlign w:val="center"/>
          </w:tcPr>
          <w:p w14:paraId="68DBDE1E">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结论</w:t>
            </w:r>
          </w:p>
        </w:tc>
      </w:tr>
      <w:tr w14:paraId="2F04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39A96278">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安全管理制度</w:t>
            </w:r>
          </w:p>
        </w:tc>
        <w:tc>
          <w:tcPr>
            <w:tcW w:w="4426" w:type="dxa"/>
            <w:vAlign w:val="center"/>
          </w:tcPr>
          <w:p w14:paraId="175542B1">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744" w:type="dxa"/>
            <w:vAlign w:val="center"/>
          </w:tcPr>
          <w:p w14:paraId="5373A034">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《中华人民共和国安全生产法》第四条</w:t>
            </w:r>
          </w:p>
        </w:tc>
        <w:tc>
          <w:tcPr>
            <w:tcW w:w="1792" w:type="dxa"/>
            <w:vAlign w:val="center"/>
          </w:tcPr>
          <w:p w14:paraId="6A1560E2">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w:t>
            </w:r>
            <w:r>
              <w:rPr>
                <w:rFonts w:hint="eastAsia"/>
                <w:color w:val="000000" w:themeColor="text1"/>
                <w:lang w:val="zh-CN"/>
                <w14:textFill>
                  <w14:solidFill>
                    <w14:schemeClr w14:val="tx1"/>
                  </w14:solidFill>
                </w14:textFill>
              </w:rPr>
              <w:t>安全生产责任制和安全生产规章制度，</w:t>
            </w:r>
            <w:r>
              <w:rPr>
                <w:rFonts w:hint="eastAsia"/>
                <w:color w:val="000000" w:themeColor="text1"/>
                <w:lang w:val="en-US" w:eastAsia="zh-CN"/>
                <w14:textFill>
                  <w14:solidFill>
                    <w14:schemeClr w14:val="tx1"/>
                  </w14:solidFill>
                </w14:textFill>
              </w:rPr>
              <w:t>开展</w:t>
            </w:r>
            <w:r>
              <w:rPr>
                <w:rFonts w:hint="eastAsia"/>
                <w:color w:val="000000" w:themeColor="text1"/>
                <w:lang w:val="zh-CN"/>
                <w14:textFill>
                  <w14:solidFill>
                    <w14:schemeClr w14:val="tx1"/>
                  </w14:solidFill>
                </w14:textFill>
              </w:rPr>
              <w:t>安全生产标准化、信息化建设，构建安全风险分级管控和隐患排查治理双重预防机制。</w:t>
            </w:r>
          </w:p>
        </w:tc>
        <w:tc>
          <w:tcPr>
            <w:tcW w:w="644" w:type="dxa"/>
            <w:vAlign w:val="center"/>
          </w:tcPr>
          <w:p w14:paraId="7CE14BF3">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1220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456B6F91">
            <w:pPr>
              <w:pStyle w:val="77"/>
              <w:jc w:val="both"/>
              <w:rPr>
                <w:color w:val="000000" w:themeColor="text1"/>
                <w:lang w:val="zh-CN"/>
                <w14:textFill>
                  <w14:solidFill>
                    <w14:schemeClr w14:val="tx1"/>
                  </w14:solidFill>
                </w14:textFill>
              </w:rPr>
            </w:pPr>
          </w:p>
        </w:tc>
        <w:tc>
          <w:tcPr>
            <w:tcW w:w="4426" w:type="dxa"/>
            <w:vAlign w:val="center"/>
          </w:tcPr>
          <w:p w14:paraId="6B1ACE96">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生产经营单位应当建立健全下列制度：</w:t>
            </w:r>
          </w:p>
          <w:p w14:paraId="62C2D50C">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（一）安全生产责任制度；</w:t>
            </w:r>
          </w:p>
          <w:p w14:paraId="64BFCE30">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（二）安全生产例会制度；</w:t>
            </w:r>
          </w:p>
          <w:p w14:paraId="774BE807">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（三）安全生产奖惩制度；</w:t>
            </w:r>
          </w:p>
          <w:p w14:paraId="780580E6">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（四）安全生产教育培训制度；</w:t>
            </w:r>
          </w:p>
          <w:p w14:paraId="4E7A6BD6">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（五）安全生产检查制度；</w:t>
            </w:r>
          </w:p>
          <w:p w14:paraId="23E14D35">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（六）生产经营场所、设备、设施安全管理制度；</w:t>
            </w:r>
          </w:p>
          <w:p w14:paraId="533C1DB3">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（七）安全生产风险分级管理控制制度；</w:t>
            </w:r>
          </w:p>
          <w:p w14:paraId="4851938C">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（八）危险源管理制度；</w:t>
            </w:r>
          </w:p>
          <w:p w14:paraId="5883EC78">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（九）安全生产应急管理和事故报告处理制度；</w:t>
            </w:r>
          </w:p>
          <w:p w14:paraId="0F0BDA0A">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（十）危险作业、特种作业人员、劳动防护用品管理制度；</w:t>
            </w:r>
          </w:p>
          <w:p w14:paraId="0CE45F67">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（十一）法律法规规定的其他安全生产制度。</w:t>
            </w:r>
          </w:p>
        </w:tc>
        <w:tc>
          <w:tcPr>
            <w:tcW w:w="1744" w:type="dxa"/>
            <w:vAlign w:val="center"/>
          </w:tcPr>
          <w:p w14:paraId="07EE4E44">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第十八条</w:t>
            </w:r>
          </w:p>
        </w:tc>
        <w:tc>
          <w:tcPr>
            <w:tcW w:w="1792" w:type="dxa"/>
            <w:vAlign w:val="center"/>
          </w:tcPr>
          <w:p w14:paraId="47A10573">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加油站建立了安全生产责任制、安全教育培训制度、安全检查制度、劳动防护用品管理制度等</w:t>
            </w:r>
            <w:r>
              <w:rPr>
                <w:rFonts w:hint="eastAsia"/>
                <w:color w:val="000000" w:themeColor="text1"/>
                <w:lang w:val="zh-CN"/>
                <w14:textFill>
                  <w14:solidFill>
                    <w14:schemeClr w14:val="tx1"/>
                  </w14:solidFill>
                </w14:textFill>
              </w:rPr>
              <w:t>。</w:t>
            </w:r>
          </w:p>
        </w:tc>
        <w:tc>
          <w:tcPr>
            <w:tcW w:w="644" w:type="dxa"/>
            <w:vAlign w:val="center"/>
          </w:tcPr>
          <w:p w14:paraId="7C76E992">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7C951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3A3F4FB1">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安全管理组织</w:t>
            </w:r>
          </w:p>
        </w:tc>
        <w:tc>
          <w:tcPr>
            <w:tcW w:w="4426" w:type="dxa"/>
            <w:vAlign w:val="center"/>
          </w:tcPr>
          <w:p w14:paraId="48DE1ECE">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1.矿山、金属冶炼、建筑施工、运输单位和危险物品的生产、经营、储存、装卸单位，应当设置安全生产管理机构或者配备专职安全生产管理人员。</w:t>
            </w:r>
          </w:p>
          <w:p w14:paraId="57CDF02A">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744" w:type="dxa"/>
            <w:vAlign w:val="center"/>
          </w:tcPr>
          <w:p w14:paraId="1704FB0C">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二十四</w:t>
            </w:r>
            <w:r>
              <w:rPr>
                <w:color w:val="000000" w:themeColor="text1"/>
                <w:lang w:val="zh-CN"/>
                <w14:textFill>
                  <w14:solidFill>
                    <w14:schemeClr w14:val="tx1"/>
                  </w14:solidFill>
                </w14:textFill>
              </w:rPr>
              <w:t>条</w:t>
            </w:r>
          </w:p>
        </w:tc>
        <w:tc>
          <w:tcPr>
            <w:tcW w:w="1792" w:type="dxa"/>
            <w:vAlign w:val="center"/>
          </w:tcPr>
          <w:p w14:paraId="135C7413">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加油站成立了安全管理小组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任命了安全员</w:t>
            </w:r>
            <w:r>
              <w:rPr>
                <w:rFonts w:hint="eastAsia"/>
                <w:color w:val="000000" w:themeColor="text1"/>
                <w:lang w:val="zh-CN"/>
                <w14:textFill>
                  <w14:solidFill>
                    <w14:schemeClr w14:val="tx1"/>
                  </w14:solidFill>
                </w14:textFill>
              </w:rPr>
              <w:t>。</w:t>
            </w:r>
          </w:p>
        </w:tc>
        <w:tc>
          <w:tcPr>
            <w:tcW w:w="644" w:type="dxa"/>
            <w:vAlign w:val="center"/>
          </w:tcPr>
          <w:p w14:paraId="410241D7">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182C0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4E595751">
            <w:pPr>
              <w:pStyle w:val="77"/>
              <w:jc w:val="both"/>
              <w:rPr>
                <w:color w:val="000000" w:themeColor="text1"/>
                <w:lang w:val="zh-CN"/>
                <w14:textFill>
                  <w14:solidFill>
                    <w14:schemeClr w14:val="tx1"/>
                  </w14:solidFill>
                </w14:textFill>
              </w:rPr>
            </w:pPr>
          </w:p>
        </w:tc>
        <w:tc>
          <w:tcPr>
            <w:tcW w:w="4426" w:type="dxa"/>
            <w:vAlign w:val="center"/>
          </w:tcPr>
          <w:p w14:paraId="11193D97">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矿山、金属冶炼、建筑施工、道路运输单位和危险物品的生产、经营、储存、废弃处置单位，应当设置专门的安全生产管理机构或者配备相应的专职安全生产管理人员。</w:t>
            </w:r>
          </w:p>
          <w:p w14:paraId="29A5A4C5">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14:paraId="62DE9574">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生产经营单位的分支机构或者所属单位，应当按照本条规定设置、配备安全生产管理机构和人员。</w:t>
            </w:r>
          </w:p>
        </w:tc>
        <w:tc>
          <w:tcPr>
            <w:tcW w:w="1744" w:type="dxa"/>
            <w:vAlign w:val="center"/>
          </w:tcPr>
          <w:p w14:paraId="40A19FEB">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第十五条</w:t>
            </w:r>
          </w:p>
        </w:tc>
        <w:tc>
          <w:tcPr>
            <w:tcW w:w="1792" w:type="dxa"/>
            <w:vAlign w:val="center"/>
          </w:tcPr>
          <w:p w14:paraId="21E6A64A">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成立安全</w:t>
            </w:r>
            <w:r>
              <w:rPr>
                <w:rFonts w:hint="eastAsia"/>
                <w:color w:val="000000" w:themeColor="text1"/>
                <w14:textFill>
                  <w14:solidFill>
                    <w14:schemeClr w14:val="tx1"/>
                  </w14:solidFill>
                </w14:textFill>
              </w:rPr>
              <w:t>领导</w:t>
            </w:r>
            <w:r>
              <w:rPr>
                <w:color w:val="000000" w:themeColor="text1"/>
                <w:lang w:val="zh-CN"/>
                <w14:textFill>
                  <w14:solidFill>
                    <w14:schemeClr w14:val="tx1"/>
                  </w14:solidFill>
                </w14:textFill>
              </w:rPr>
              <w:t>小组并任命了安全员</w:t>
            </w:r>
            <w:r>
              <w:rPr>
                <w:rFonts w:hint="eastAsia"/>
                <w:color w:val="000000" w:themeColor="text1"/>
                <w:lang w:val="zh-CN"/>
                <w14:textFill>
                  <w14:solidFill>
                    <w14:schemeClr w14:val="tx1"/>
                  </w14:solidFill>
                </w14:textFill>
              </w:rPr>
              <w:t>。</w:t>
            </w:r>
          </w:p>
        </w:tc>
        <w:tc>
          <w:tcPr>
            <w:tcW w:w="644" w:type="dxa"/>
            <w:vAlign w:val="center"/>
          </w:tcPr>
          <w:p w14:paraId="264BFA2C">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p w14:paraId="02AB59A2">
            <w:pPr>
              <w:pStyle w:val="77"/>
              <w:rPr>
                <w:color w:val="000000" w:themeColor="text1"/>
                <w:lang w:val="zh-CN"/>
                <w14:textFill>
                  <w14:solidFill>
                    <w14:schemeClr w14:val="tx1"/>
                  </w14:solidFill>
                </w14:textFill>
              </w:rPr>
            </w:pPr>
          </w:p>
        </w:tc>
      </w:tr>
      <w:tr w14:paraId="7F790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2E2AD2AE">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从业人员</w:t>
            </w:r>
          </w:p>
        </w:tc>
        <w:tc>
          <w:tcPr>
            <w:tcW w:w="4426" w:type="dxa"/>
            <w:vAlign w:val="center"/>
          </w:tcPr>
          <w:p w14:paraId="6EBEFEA8">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1.生产经营单位的主要负责人和安全生产管理人员必须具备与本单位所从事的生产经营活动相应的安全生产知识和管理能力。</w:t>
            </w:r>
          </w:p>
          <w:p w14:paraId="7A08017C">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300FA462">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744" w:type="dxa"/>
            <w:vAlign w:val="center"/>
          </w:tcPr>
          <w:p w14:paraId="0CCB90B9">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七</w:t>
            </w:r>
            <w:r>
              <w:rPr>
                <w:color w:val="000000" w:themeColor="text1"/>
                <w:lang w:val="zh-CN"/>
                <w14:textFill>
                  <w14:solidFill>
                    <w14:schemeClr w14:val="tx1"/>
                  </w14:solidFill>
                </w14:textFill>
              </w:rPr>
              <w:t>条</w:t>
            </w:r>
          </w:p>
        </w:tc>
        <w:tc>
          <w:tcPr>
            <w:tcW w:w="1792" w:type="dxa"/>
            <w:vAlign w:val="center"/>
          </w:tcPr>
          <w:p w14:paraId="28D0175C">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主要负责人和安全生产管理人员</w:t>
            </w:r>
            <w:r>
              <w:rPr>
                <w:rFonts w:hint="eastAsia"/>
                <w:color w:val="000000" w:themeColor="text1"/>
                <w14:textFill>
                  <w14:solidFill>
                    <w14:schemeClr w14:val="tx1"/>
                  </w14:solidFill>
                </w14:textFill>
              </w:rPr>
              <w:t>持证上岗。</w:t>
            </w:r>
          </w:p>
        </w:tc>
        <w:tc>
          <w:tcPr>
            <w:tcW w:w="644" w:type="dxa"/>
            <w:vAlign w:val="center"/>
          </w:tcPr>
          <w:p w14:paraId="17B3F7D8">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08836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0703B42F">
            <w:pPr>
              <w:pStyle w:val="77"/>
              <w:jc w:val="both"/>
              <w:rPr>
                <w:color w:val="000000" w:themeColor="text1"/>
                <w:lang w:val="zh-CN"/>
                <w14:textFill>
                  <w14:solidFill>
                    <w14:schemeClr w14:val="tx1"/>
                  </w14:solidFill>
                </w14:textFill>
              </w:rPr>
            </w:pPr>
          </w:p>
        </w:tc>
        <w:tc>
          <w:tcPr>
            <w:tcW w:w="4426" w:type="dxa"/>
            <w:vAlign w:val="center"/>
          </w:tcPr>
          <w:p w14:paraId="22B6B1D9">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744" w:type="dxa"/>
            <w:vAlign w:val="center"/>
          </w:tcPr>
          <w:p w14:paraId="7D8DFA21">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八</w:t>
            </w:r>
            <w:r>
              <w:rPr>
                <w:color w:val="000000" w:themeColor="text1"/>
                <w:lang w:val="zh-CN"/>
                <w14:textFill>
                  <w14:solidFill>
                    <w14:schemeClr w14:val="tx1"/>
                  </w14:solidFill>
                </w14:textFill>
              </w:rPr>
              <w:t>条</w:t>
            </w:r>
          </w:p>
        </w:tc>
        <w:tc>
          <w:tcPr>
            <w:tcW w:w="1792" w:type="dxa"/>
            <w:vAlign w:val="center"/>
          </w:tcPr>
          <w:p w14:paraId="029A5E4C">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加油站对从业人员进行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安全教育培训，经培训合格后上岗。</w:t>
            </w:r>
          </w:p>
        </w:tc>
        <w:tc>
          <w:tcPr>
            <w:tcW w:w="644" w:type="dxa"/>
            <w:vAlign w:val="center"/>
          </w:tcPr>
          <w:p w14:paraId="408C789A">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2AD8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27DF78F3">
            <w:pPr>
              <w:pStyle w:val="77"/>
              <w:jc w:val="both"/>
              <w:rPr>
                <w:color w:val="000000" w:themeColor="text1"/>
                <w:lang w:val="zh-CN"/>
                <w14:textFill>
                  <w14:solidFill>
                    <w14:schemeClr w14:val="tx1"/>
                  </w14:solidFill>
                </w14:textFill>
              </w:rPr>
            </w:pPr>
          </w:p>
        </w:tc>
        <w:tc>
          <w:tcPr>
            <w:tcW w:w="4426" w:type="dxa"/>
            <w:vAlign w:val="center"/>
          </w:tcPr>
          <w:p w14:paraId="306A3BE2">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生产经营单位的特种作业人员必须按照国家有关规定经专门的安全作业培训，取得相应资格，方可上岗作业。</w:t>
            </w:r>
          </w:p>
        </w:tc>
        <w:tc>
          <w:tcPr>
            <w:tcW w:w="1744" w:type="dxa"/>
            <w:vAlign w:val="center"/>
          </w:tcPr>
          <w:p w14:paraId="0C3C9612">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三十条</w:t>
            </w:r>
          </w:p>
        </w:tc>
        <w:tc>
          <w:tcPr>
            <w:tcW w:w="1792" w:type="dxa"/>
            <w:vAlign w:val="center"/>
          </w:tcPr>
          <w:p w14:paraId="6A76F26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w:t>
            </w:r>
            <w:r>
              <w:rPr>
                <w:rFonts w:hint="eastAsia"/>
                <w:color w:val="000000" w:themeColor="text1"/>
                <w:lang w:val="zh-CN"/>
                <w14:textFill>
                  <w14:solidFill>
                    <w14:schemeClr w14:val="tx1"/>
                  </w14:solidFill>
                </w14:textFill>
              </w:rPr>
              <w:t>特种作业人员。</w:t>
            </w:r>
          </w:p>
        </w:tc>
        <w:tc>
          <w:tcPr>
            <w:tcW w:w="644" w:type="dxa"/>
            <w:vAlign w:val="center"/>
          </w:tcPr>
          <w:p w14:paraId="75259A58">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r>
      <w:tr w14:paraId="47F02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264BAECD">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安全检查</w:t>
            </w:r>
          </w:p>
        </w:tc>
        <w:tc>
          <w:tcPr>
            <w:tcW w:w="4426" w:type="dxa"/>
            <w:vAlign w:val="center"/>
          </w:tcPr>
          <w:p w14:paraId="120F6103">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生产经营单位必须对安全设备进行经常性维护、保养，并定期检测，保证正常运转。维护、保养、检测应当作好记录，并由有关人员签字。</w:t>
            </w:r>
          </w:p>
        </w:tc>
        <w:tc>
          <w:tcPr>
            <w:tcW w:w="1744" w:type="dxa"/>
            <w:vAlign w:val="center"/>
          </w:tcPr>
          <w:p w14:paraId="503AAAFD">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三十六</w:t>
            </w:r>
            <w:r>
              <w:rPr>
                <w:color w:val="000000" w:themeColor="text1"/>
                <w:lang w:val="zh-CN"/>
                <w14:textFill>
                  <w14:solidFill>
                    <w14:schemeClr w14:val="tx1"/>
                  </w14:solidFill>
                </w14:textFill>
              </w:rPr>
              <w:t>条</w:t>
            </w:r>
          </w:p>
        </w:tc>
        <w:tc>
          <w:tcPr>
            <w:tcW w:w="1792" w:type="dxa"/>
            <w:vAlign w:val="center"/>
          </w:tcPr>
          <w:p w14:paraId="22B79254">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加油站对安全设备进行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经常性维护、保养，并定期检测。</w:t>
            </w:r>
          </w:p>
        </w:tc>
        <w:tc>
          <w:tcPr>
            <w:tcW w:w="644" w:type="dxa"/>
            <w:vAlign w:val="center"/>
          </w:tcPr>
          <w:p w14:paraId="604C3722">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714D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2E1ADCFA">
            <w:pPr>
              <w:pStyle w:val="77"/>
              <w:jc w:val="both"/>
              <w:rPr>
                <w:color w:val="000000" w:themeColor="text1"/>
                <w:lang w:val="zh-CN"/>
                <w14:textFill>
                  <w14:solidFill>
                    <w14:schemeClr w14:val="tx1"/>
                  </w14:solidFill>
                </w14:textFill>
              </w:rPr>
            </w:pPr>
          </w:p>
        </w:tc>
        <w:tc>
          <w:tcPr>
            <w:tcW w:w="4426" w:type="dxa"/>
            <w:vAlign w:val="center"/>
          </w:tcPr>
          <w:p w14:paraId="25ED4CEA">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default"/>
                <w:color w:val="000000" w:themeColor="text1"/>
                <w:lang w:val="zh-CN" w:eastAsia="zh-CN"/>
                <w14:textFill>
                  <w14:solidFill>
                    <w14:schemeClr w14:val="tx1"/>
                  </w14:solidFill>
                </w14:textFill>
              </w:rPr>
              <w:t>第十九条生产经营单位应当制定符合有关法律法规规定的安全生产自检自查标准，建立事故隐患排查治理长效机制。</w:t>
            </w:r>
          </w:p>
          <w:p w14:paraId="452A48CA">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生产经营单位应当实行事故隐患清单管理，及时消除事故隐患；不能及时消除的，应当采取安全防范措施，制定治理方案，落实整改措施、责任、资金、时限和应急预案。</w:t>
            </w:r>
          </w:p>
          <w:p w14:paraId="3090BDB3">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生产经营单位可以委托具备相应能力的技术服务机构进行安全风险分析和事故隐患排查。</w:t>
            </w:r>
          </w:p>
          <w:p w14:paraId="400F28B2">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生产经营单位应当如实记录事故隐患排查治理情况，按照规定向有关部门报告，并向从业人员通报</w:t>
            </w:r>
            <w:r>
              <w:rPr>
                <w:color w:val="000000" w:themeColor="text1"/>
                <w:lang w:val="zh-CN"/>
                <w14:textFill>
                  <w14:solidFill>
                    <w14:schemeClr w14:val="tx1"/>
                  </w14:solidFill>
                </w14:textFill>
              </w:rPr>
              <w:t>。</w:t>
            </w:r>
          </w:p>
        </w:tc>
        <w:tc>
          <w:tcPr>
            <w:tcW w:w="1744" w:type="dxa"/>
            <w:vAlign w:val="center"/>
          </w:tcPr>
          <w:p w14:paraId="6AFA6BEA">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《云南省安全生产条例》第十</w:t>
            </w:r>
            <w:r>
              <w:rPr>
                <w:rFonts w:hint="eastAsia"/>
                <w:color w:val="000000" w:themeColor="text1"/>
                <w:lang w:val="en-US" w:eastAsia="zh-CN"/>
                <w14:textFill>
                  <w14:solidFill>
                    <w14:schemeClr w14:val="tx1"/>
                  </w14:solidFill>
                </w14:textFill>
              </w:rPr>
              <w:t>九</w:t>
            </w:r>
            <w:r>
              <w:rPr>
                <w:color w:val="000000" w:themeColor="text1"/>
                <w:lang w:val="zh-CN"/>
                <w14:textFill>
                  <w14:solidFill>
                    <w14:schemeClr w14:val="tx1"/>
                  </w14:solidFill>
                </w14:textFill>
              </w:rPr>
              <w:t>条</w:t>
            </w:r>
          </w:p>
        </w:tc>
        <w:tc>
          <w:tcPr>
            <w:tcW w:w="1792" w:type="dxa"/>
            <w:vAlign w:val="center"/>
          </w:tcPr>
          <w:p w14:paraId="7A017291">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安全管理人员对加油站进行</w:t>
            </w:r>
            <w:r>
              <w:rPr>
                <w:rFonts w:hint="eastAsia"/>
                <w:color w:val="000000" w:themeColor="text1"/>
                <w14:textFill>
                  <w14:solidFill>
                    <w14:schemeClr w14:val="tx1"/>
                  </w14:solidFill>
                </w14:textFill>
              </w:rPr>
              <w:t>了</w:t>
            </w:r>
            <w:r>
              <w:rPr>
                <w:color w:val="000000" w:themeColor="text1"/>
                <w:lang w:val="zh-CN"/>
                <w14:textFill>
                  <w14:solidFill>
                    <w14:schemeClr w14:val="tx1"/>
                  </w14:solidFill>
                </w14:textFill>
              </w:rPr>
              <w:t>定期检查</w:t>
            </w:r>
            <w:r>
              <w:rPr>
                <w:rFonts w:hint="eastAsia"/>
                <w:color w:val="000000" w:themeColor="text1"/>
                <w:lang w:val="zh-CN"/>
                <w14:textFill>
                  <w14:solidFill>
                    <w14:schemeClr w14:val="tx1"/>
                  </w14:solidFill>
                </w14:textFill>
              </w:rPr>
              <w:t>。</w:t>
            </w:r>
          </w:p>
        </w:tc>
        <w:tc>
          <w:tcPr>
            <w:tcW w:w="644" w:type="dxa"/>
            <w:vAlign w:val="center"/>
          </w:tcPr>
          <w:p w14:paraId="3165503F">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65A1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105606EC">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安全投入</w:t>
            </w:r>
          </w:p>
        </w:tc>
        <w:tc>
          <w:tcPr>
            <w:tcW w:w="4426" w:type="dxa"/>
            <w:vAlign w:val="center"/>
          </w:tcPr>
          <w:p w14:paraId="24292036">
            <w:pPr>
              <w:pStyle w:val="77"/>
              <w:jc w:val="both"/>
              <w:rPr>
                <w:rFonts w:hint="default"/>
                <w:color w:val="000000" w:themeColor="text1"/>
                <w:lang w:val="en-US" w:eastAsia="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生产经营单位必须为从业人员提供符合国家标准或者行业标准的劳动防护用品，并监督、教育从业人员按照使用规则佩戴、使用</w:t>
            </w:r>
            <w:r>
              <w:rPr>
                <w:color w:val="000000" w:themeColor="text1"/>
                <w:lang w:val="zh-CN"/>
                <w14:textFill>
                  <w14:solidFill>
                    <w14:schemeClr w14:val="tx1"/>
                  </w14:solidFill>
                </w14:textFill>
              </w:rPr>
              <w:t>。</w:t>
            </w:r>
          </w:p>
        </w:tc>
        <w:tc>
          <w:tcPr>
            <w:tcW w:w="1744" w:type="dxa"/>
            <w:vAlign w:val="center"/>
          </w:tcPr>
          <w:p w14:paraId="0A27E799">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四十五</w:t>
            </w:r>
            <w:r>
              <w:rPr>
                <w:color w:val="000000" w:themeColor="text1"/>
                <w:lang w:val="zh-CN"/>
                <w14:textFill>
                  <w14:solidFill>
                    <w14:schemeClr w14:val="tx1"/>
                  </w14:solidFill>
                </w14:textFill>
              </w:rPr>
              <w:t>条</w:t>
            </w:r>
          </w:p>
        </w:tc>
        <w:tc>
          <w:tcPr>
            <w:tcW w:w="1792" w:type="dxa"/>
            <w:vAlign w:val="center"/>
          </w:tcPr>
          <w:p w14:paraId="7673F113">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加油站统一发放</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劳动防护用品。</w:t>
            </w:r>
          </w:p>
        </w:tc>
        <w:tc>
          <w:tcPr>
            <w:tcW w:w="644" w:type="dxa"/>
            <w:vAlign w:val="center"/>
          </w:tcPr>
          <w:p w14:paraId="4ED0BBA3">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5BE21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18E59604">
            <w:pPr>
              <w:pStyle w:val="77"/>
              <w:jc w:val="both"/>
              <w:rPr>
                <w:color w:val="000000" w:themeColor="text1"/>
                <w:lang w:val="zh-CN"/>
                <w14:textFill>
                  <w14:solidFill>
                    <w14:schemeClr w14:val="tx1"/>
                  </w14:solidFill>
                </w14:textFill>
              </w:rPr>
            </w:pPr>
          </w:p>
        </w:tc>
        <w:tc>
          <w:tcPr>
            <w:tcW w:w="4426" w:type="dxa"/>
            <w:vAlign w:val="center"/>
          </w:tcPr>
          <w:p w14:paraId="6B31EB2A">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color w:val="000000" w:themeColor="text1"/>
                <w:lang w:val="zh-CN"/>
                <w14:textFill>
                  <w14:solidFill>
                    <w14:schemeClr w14:val="tx1"/>
                  </w14:solidFill>
                </w14:textFill>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744" w:type="dxa"/>
            <w:vAlign w:val="center"/>
          </w:tcPr>
          <w:p w14:paraId="3AF563B3">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w:t>
            </w:r>
            <w:r>
              <w:rPr>
                <w:rFonts w:ascii="Helvetica" w:hAnsi="Helvetica" w:eastAsia="Helvetica" w:cs="Helvetica"/>
                <w:i w:val="0"/>
                <w:iCs w:val="0"/>
                <w:caps w:val="0"/>
                <w:color w:val="333333"/>
                <w:spacing w:val="0"/>
                <w:sz w:val="21"/>
                <w:szCs w:val="21"/>
                <w:shd w:val="clear" w:fill="FFFFFF"/>
              </w:rPr>
              <w:t>第五十一条</w:t>
            </w:r>
          </w:p>
        </w:tc>
        <w:tc>
          <w:tcPr>
            <w:tcW w:w="1792" w:type="dxa"/>
            <w:vAlign w:val="center"/>
          </w:tcPr>
          <w:p w14:paraId="498AA43F">
            <w:pPr>
              <w:pStyle w:val="77"/>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加油站已购买安全生产责任保险</w:t>
            </w:r>
            <w:r>
              <w:rPr>
                <w:rFonts w:hint="eastAsia"/>
                <w:color w:val="000000" w:themeColor="text1"/>
                <w:lang w:val="zh-CN" w:eastAsia="zh-CN"/>
                <w14:textFill>
                  <w14:solidFill>
                    <w14:schemeClr w14:val="tx1"/>
                  </w14:solidFill>
                </w14:textFill>
              </w:rPr>
              <w:t>，</w:t>
            </w:r>
            <w:r>
              <w:rPr>
                <w:rFonts w:hint="eastAsia"/>
                <w:color w:val="000000" w:themeColor="text1"/>
                <w:lang w:val="en-US" w:eastAsia="zh-CN"/>
                <w14:textFill>
                  <w14:solidFill>
                    <w14:schemeClr w14:val="tx1"/>
                  </w14:solidFill>
                </w14:textFill>
              </w:rPr>
              <w:t>但未提供</w:t>
            </w:r>
            <w:r>
              <w:rPr>
                <w:rFonts w:hint="default"/>
                <w:color w:val="000000" w:themeColor="text1"/>
                <w:lang w:val="zh-CN" w:eastAsia="zh-CN"/>
                <w14:textFill>
                  <w14:solidFill>
                    <w14:schemeClr w14:val="tx1"/>
                  </w14:solidFill>
                </w14:textFill>
              </w:rPr>
              <w:t>工伤保险</w:t>
            </w:r>
            <w:r>
              <w:rPr>
                <w:rFonts w:hint="eastAsia"/>
                <w:color w:val="000000" w:themeColor="text1"/>
                <w:lang w:val="en-US" w:eastAsia="zh-CN"/>
                <w14:textFill>
                  <w14:solidFill>
                    <w14:schemeClr w14:val="tx1"/>
                  </w14:solidFill>
                </w14:textFill>
              </w:rPr>
              <w:t>。</w:t>
            </w:r>
          </w:p>
        </w:tc>
        <w:tc>
          <w:tcPr>
            <w:tcW w:w="644" w:type="dxa"/>
            <w:vAlign w:val="center"/>
          </w:tcPr>
          <w:p w14:paraId="09530CCA">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基本</w:t>
            </w:r>
          </w:p>
          <w:p w14:paraId="5BBCE319">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6F14B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30EB3356">
            <w:pPr>
              <w:pStyle w:val="77"/>
              <w:jc w:val="both"/>
              <w:rPr>
                <w:color w:val="000000" w:themeColor="text1"/>
                <w:lang w:val="zh-CN"/>
                <w14:textFill>
                  <w14:solidFill>
                    <w14:schemeClr w14:val="tx1"/>
                  </w14:solidFill>
                </w14:textFill>
              </w:rPr>
            </w:pPr>
          </w:p>
        </w:tc>
        <w:tc>
          <w:tcPr>
            <w:tcW w:w="4426" w:type="dxa"/>
            <w:vAlign w:val="center"/>
          </w:tcPr>
          <w:p w14:paraId="7FB59F85">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lang w:val="zh-CN"/>
                <w14:textFill>
                  <w14:solidFill>
                    <w14:schemeClr w14:val="tx1"/>
                  </w14:solidFill>
                </w14:textFill>
              </w:rPr>
              <w:t>.</w:t>
            </w:r>
            <w:r>
              <w:rPr>
                <w:rFonts w:hint="default"/>
                <w:color w:val="000000" w:themeColor="text1"/>
                <w:lang w:val="zh-CN" w:eastAsia="zh-CN"/>
                <w14:textFill>
                  <w14:solidFill>
                    <w14:schemeClr w14:val="tx1"/>
                  </w14:solidFill>
                </w14:textFill>
              </w:rPr>
              <w:t>生产经营单位应当依法参加工伤保险，为从业人员按时足额缴纳工伤保险费。</w:t>
            </w:r>
          </w:p>
          <w:p w14:paraId="64DC9D66">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744" w:type="dxa"/>
            <w:vAlign w:val="center"/>
          </w:tcPr>
          <w:p w14:paraId="4A76CFDB">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第二十四条</w:t>
            </w:r>
          </w:p>
        </w:tc>
        <w:tc>
          <w:tcPr>
            <w:tcW w:w="1792" w:type="dxa"/>
            <w:vAlign w:val="center"/>
          </w:tcPr>
          <w:p w14:paraId="6957D4E0">
            <w:pPr>
              <w:pStyle w:val="77"/>
              <w:ind w:firstLine="0" w:firstLineChars="0"/>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加油站已购买安全生产责任保险</w:t>
            </w:r>
            <w:r>
              <w:rPr>
                <w:rFonts w:hint="eastAsia"/>
                <w:color w:val="000000" w:themeColor="text1"/>
                <w:lang w:val="zh-CN" w:eastAsia="zh-CN"/>
                <w14:textFill>
                  <w14:solidFill>
                    <w14:schemeClr w14:val="tx1"/>
                  </w14:solidFill>
                </w14:textFill>
              </w:rPr>
              <w:t>，</w:t>
            </w:r>
            <w:r>
              <w:rPr>
                <w:rFonts w:hint="eastAsia"/>
                <w:color w:val="000000" w:themeColor="text1"/>
                <w:lang w:val="en-US" w:eastAsia="zh-CN"/>
                <w14:textFill>
                  <w14:solidFill>
                    <w14:schemeClr w14:val="tx1"/>
                  </w14:solidFill>
                </w14:textFill>
              </w:rPr>
              <w:t>但未提供</w:t>
            </w:r>
            <w:r>
              <w:rPr>
                <w:rFonts w:hint="default"/>
                <w:color w:val="000000" w:themeColor="text1"/>
                <w:lang w:val="zh-CN" w:eastAsia="zh-CN"/>
                <w14:textFill>
                  <w14:solidFill>
                    <w14:schemeClr w14:val="tx1"/>
                  </w14:solidFill>
                </w14:textFill>
              </w:rPr>
              <w:t>工伤保险</w:t>
            </w:r>
            <w:r>
              <w:rPr>
                <w:rFonts w:hint="eastAsia"/>
                <w:color w:val="000000" w:themeColor="text1"/>
                <w:lang w:val="en-US" w:eastAsia="zh-CN"/>
                <w14:textFill>
                  <w14:solidFill>
                    <w14:schemeClr w14:val="tx1"/>
                  </w14:solidFill>
                </w14:textFill>
              </w:rPr>
              <w:t>。</w:t>
            </w:r>
          </w:p>
        </w:tc>
        <w:tc>
          <w:tcPr>
            <w:tcW w:w="644" w:type="dxa"/>
            <w:vAlign w:val="center"/>
          </w:tcPr>
          <w:p w14:paraId="6D94CB68">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基本</w:t>
            </w:r>
          </w:p>
          <w:p w14:paraId="42E6E988">
            <w:pPr>
              <w:pStyle w:val="77"/>
              <w:ind w:firstLine="0" w:firstLineChars="0"/>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04B11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588635C5">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事故及应急管理</w:t>
            </w:r>
          </w:p>
        </w:tc>
        <w:tc>
          <w:tcPr>
            <w:tcW w:w="4426" w:type="dxa"/>
            <w:vAlign w:val="center"/>
          </w:tcPr>
          <w:p w14:paraId="51D5F268">
            <w:pPr>
              <w:pStyle w:val="77"/>
              <w:jc w:val="both"/>
              <w:rPr>
                <w:color w:val="000000" w:themeColor="text1"/>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r>
              <w:rPr>
                <w:color w:val="000000" w:themeColor="text1"/>
                <w:lang w:val="zh-CN"/>
                <w14:textFill>
                  <w14:solidFill>
                    <w14:schemeClr w14:val="tx1"/>
                  </w14:solidFill>
                </w14:textFill>
              </w:rPr>
              <w:t>。</w:t>
            </w:r>
          </w:p>
        </w:tc>
        <w:tc>
          <w:tcPr>
            <w:tcW w:w="1744" w:type="dxa"/>
            <w:vAlign w:val="center"/>
          </w:tcPr>
          <w:p w14:paraId="61F2E81E">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八十一</w:t>
            </w:r>
            <w:r>
              <w:rPr>
                <w:color w:val="000000" w:themeColor="text1"/>
                <w:lang w:val="zh-CN"/>
                <w14:textFill>
                  <w14:solidFill>
                    <w14:schemeClr w14:val="tx1"/>
                  </w14:solidFill>
                </w14:textFill>
              </w:rPr>
              <w:t>条</w:t>
            </w:r>
          </w:p>
        </w:tc>
        <w:tc>
          <w:tcPr>
            <w:tcW w:w="1792" w:type="dxa"/>
            <w:vAlign w:val="center"/>
          </w:tcPr>
          <w:p w14:paraId="0FB69AEF">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制定了应急救援预案</w:t>
            </w:r>
            <w:r>
              <w:rPr>
                <w:rFonts w:hint="eastAsia"/>
                <w:color w:val="000000" w:themeColor="text1"/>
                <w:lang w:val="zh-CN"/>
                <w14:textFill>
                  <w14:solidFill>
                    <w14:schemeClr w14:val="tx1"/>
                  </w14:solidFill>
                </w14:textFill>
              </w:rPr>
              <w:t>。</w:t>
            </w:r>
          </w:p>
        </w:tc>
        <w:tc>
          <w:tcPr>
            <w:tcW w:w="644" w:type="dxa"/>
            <w:vAlign w:val="center"/>
          </w:tcPr>
          <w:p w14:paraId="340969B9">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6E85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6FC7F801">
            <w:pPr>
              <w:pStyle w:val="77"/>
              <w:jc w:val="both"/>
              <w:rPr>
                <w:color w:val="000000" w:themeColor="text1"/>
                <w:lang w:val="zh-CN"/>
                <w14:textFill>
                  <w14:solidFill>
                    <w14:schemeClr w14:val="tx1"/>
                  </w14:solidFill>
                </w14:textFill>
              </w:rPr>
            </w:pPr>
          </w:p>
        </w:tc>
        <w:tc>
          <w:tcPr>
            <w:tcW w:w="4426" w:type="dxa"/>
            <w:vAlign w:val="center"/>
          </w:tcPr>
          <w:p w14:paraId="35A671F2">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2.危险物品的经营、储存单位应当建立应急救援组织；生产经营规模较小的，可以不建立应急救援组织，但应当指定兼职的应急救援人员。</w:t>
            </w:r>
          </w:p>
        </w:tc>
        <w:tc>
          <w:tcPr>
            <w:tcW w:w="1744" w:type="dxa"/>
            <w:vAlign w:val="center"/>
          </w:tcPr>
          <w:p w14:paraId="4DAC8D97">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八十二</w:t>
            </w:r>
            <w:r>
              <w:rPr>
                <w:color w:val="000000" w:themeColor="text1"/>
                <w:lang w:val="zh-CN"/>
                <w14:textFill>
                  <w14:solidFill>
                    <w14:schemeClr w14:val="tx1"/>
                  </w14:solidFill>
                </w14:textFill>
              </w:rPr>
              <w:t>条</w:t>
            </w:r>
          </w:p>
        </w:tc>
        <w:tc>
          <w:tcPr>
            <w:tcW w:w="1792" w:type="dxa"/>
            <w:vAlign w:val="center"/>
          </w:tcPr>
          <w:p w14:paraId="16C27858">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成立了应急救援小组。</w:t>
            </w:r>
          </w:p>
        </w:tc>
        <w:tc>
          <w:tcPr>
            <w:tcW w:w="644" w:type="dxa"/>
            <w:vAlign w:val="center"/>
          </w:tcPr>
          <w:p w14:paraId="6135C749">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21DFB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3CB84FD7">
            <w:pPr>
              <w:pStyle w:val="77"/>
              <w:jc w:val="both"/>
              <w:rPr>
                <w:color w:val="000000" w:themeColor="text1"/>
                <w:lang w:val="zh-CN"/>
                <w14:textFill>
                  <w14:solidFill>
                    <w14:schemeClr w14:val="tx1"/>
                  </w14:solidFill>
                </w14:textFill>
              </w:rPr>
            </w:pPr>
          </w:p>
        </w:tc>
        <w:tc>
          <w:tcPr>
            <w:tcW w:w="4426" w:type="dxa"/>
            <w:vAlign w:val="center"/>
          </w:tcPr>
          <w:p w14:paraId="4141D916">
            <w:pPr>
              <w:pStyle w:val="77"/>
              <w:jc w:val="both"/>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lang w:val="zh-CN"/>
                <w14:textFill>
                  <w14:solidFill>
                    <w14:schemeClr w14:val="tx1"/>
                  </w14:solidFill>
                </w14:textFill>
              </w:rPr>
              <w:t>.</w:t>
            </w:r>
            <w:r>
              <w:rPr>
                <w:rFonts w:ascii="Helvetica" w:hAnsi="Helvetica" w:eastAsia="Helvetica" w:cs="Helvetica"/>
                <w:i w:val="0"/>
                <w:iCs w:val="0"/>
                <w:caps w:val="0"/>
                <w:color w:val="333333"/>
                <w:spacing w:val="0"/>
                <w:sz w:val="21"/>
                <w:szCs w:val="21"/>
                <w:shd w:val="clear"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744" w:type="dxa"/>
            <w:vAlign w:val="center"/>
          </w:tcPr>
          <w:p w14:paraId="22AD4171">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ascii="Helvetica" w:hAnsi="Helvetica" w:eastAsia="Helvetica" w:cs="Helvetica"/>
                <w:i w:val="0"/>
                <w:iCs w:val="0"/>
                <w:caps w:val="0"/>
                <w:color w:val="333333"/>
                <w:spacing w:val="0"/>
                <w:sz w:val="21"/>
                <w:szCs w:val="21"/>
                <w:shd w:val="clear" w:fill="FFFFFF"/>
              </w:rPr>
              <w:t>第四十四条</w:t>
            </w:r>
          </w:p>
        </w:tc>
        <w:tc>
          <w:tcPr>
            <w:tcW w:w="1792" w:type="dxa"/>
            <w:vAlign w:val="center"/>
          </w:tcPr>
          <w:p w14:paraId="6C98A6E0">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加油站制定了应急救援预案，配备了应急救援器材和物品并定期开展应急救援演练，成建立了兼职应急救援队伍。</w:t>
            </w:r>
          </w:p>
        </w:tc>
        <w:tc>
          <w:tcPr>
            <w:tcW w:w="644" w:type="dxa"/>
            <w:vAlign w:val="center"/>
          </w:tcPr>
          <w:p w14:paraId="0823F037">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3FBD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0FA4496B">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经营安全</w:t>
            </w:r>
          </w:p>
        </w:tc>
        <w:tc>
          <w:tcPr>
            <w:tcW w:w="4426" w:type="dxa"/>
            <w:vAlign w:val="center"/>
          </w:tcPr>
          <w:p w14:paraId="772BA4EF">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国家对危险化学品经营（包括仓储经营，下同）实行许可制度。未经许可，任何单位和个人不得经营危险化学品。</w:t>
            </w:r>
          </w:p>
        </w:tc>
        <w:tc>
          <w:tcPr>
            <w:tcW w:w="1744" w:type="dxa"/>
            <w:vAlign w:val="center"/>
          </w:tcPr>
          <w:p w14:paraId="37D7E025">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三十三</w:t>
            </w:r>
            <w:r>
              <w:rPr>
                <w:color w:val="000000" w:themeColor="text1"/>
                <w:lang w:val="zh-CN"/>
                <w14:textFill>
                  <w14:solidFill>
                    <w14:schemeClr w14:val="tx1"/>
                  </w14:solidFill>
                </w14:textFill>
              </w:rPr>
              <w:t>条</w:t>
            </w:r>
          </w:p>
        </w:tc>
        <w:tc>
          <w:tcPr>
            <w:tcW w:w="1792" w:type="dxa"/>
            <w:vAlign w:val="center"/>
          </w:tcPr>
          <w:p w14:paraId="3184A10C">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加油站取得</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且</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在有效期内</w:t>
            </w:r>
            <w:r>
              <w:rPr>
                <w:rFonts w:hint="eastAsia"/>
                <w:color w:val="000000" w:themeColor="text1"/>
                <w:lang w:val="zh-CN"/>
                <w14:textFill>
                  <w14:solidFill>
                    <w14:schemeClr w14:val="tx1"/>
                  </w14:solidFill>
                </w14:textFill>
              </w:rPr>
              <w:t>。</w:t>
            </w:r>
          </w:p>
        </w:tc>
        <w:tc>
          <w:tcPr>
            <w:tcW w:w="644" w:type="dxa"/>
            <w:vAlign w:val="center"/>
          </w:tcPr>
          <w:p w14:paraId="60871ACD">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1EF92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1FF1FE62">
            <w:pPr>
              <w:pStyle w:val="77"/>
              <w:jc w:val="both"/>
              <w:rPr>
                <w:color w:val="000000" w:themeColor="text1"/>
                <w:lang w:val="zh-CN"/>
                <w14:textFill>
                  <w14:solidFill>
                    <w14:schemeClr w14:val="tx1"/>
                  </w14:solidFill>
                </w14:textFill>
              </w:rPr>
            </w:pPr>
          </w:p>
        </w:tc>
        <w:tc>
          <w:tcPr>
            <w:tcW w:w="4426" w:type="dxa"/>
            <w:vAlign w:val="center"/>
          </w:tcPr>
          <w:p w14:paraId="162B4676">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2.从事危险化学品经营的企业应当具备下列条件：</w:t>
            </w:r>
          </w:p>
          <w:p w14:paraId="3102EDA7">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（一）有符合国家标准、行业标准的经营场所，储存危险化学品的，还应当有符合国家标准、行业标准的储存设施；</w:t>
            </w:r>
          </w:p>
          <w:p w14:paraId="1A32DD23">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（二）从业人员经过专业技术培训并经考核合格；</w:t>
            </w:r>
          </w:p>
          <w:p w14:paraId="4F58D7FE">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（三）有健全的安全管理规章制度；</w:t>
            </w:r>
          </w:p>
          <w:p w14:paraId="703AC3F8">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（四）有专职安全管理人员；</w:t>
            </w:r>
          </w:p>
          <w:p w14:paraId="48B4D105">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（五）有符合国家规定的危险化学品事故应急预案和必要的应急救援器材、设备；</w:t>
            </w:r>
          </w:p>
          <w:p w14:paraId="6D8FEA99">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（六）法律、法规规定的其他条件。</w:t>
            </w:r>
          </w:p>
        </w:tc>
        <w:tc>
          <w:tcPr>
            <w:tcW w:w="1744" w:type="dxa"/>
            <w:vAlign w:val="center"/>
          </w:tcPr>
          <w:p w14:paraId="2B9DF27B">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三十四</w:t>
            </w:r>
            <w:r>
              <w:rPr>
                <w:color w:val="000000" w:themeColor="text1"/>
                <w:lang w:val="zh-CN"/>
                <w14:textFill>
                  <w14:solidFill>
                    <w14:schemeClr w14:val="tx1"/>
                  </w14:solidFill>
                </w14:textFill>
              </w:rPr>
              <w:t>条</w:t>
            </w:r>
          </w:p>
        </w:tc>
        <w:tc>
          <w:tcPr>
            <w:tcW w:w="1792" w:type="dxa"/>
            <w:vAlign w:val="center"/>
          </w:tcPr>
          <w:p w14:paraId="7DD79235">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加油站储存设施符合规范要求；从业人员</w:t>
            </w:r>
            <w:r>
              <w:rPr>
                <w:rFonts w:hint="eastAsia"/>
                <w:color w:val="000000" w:themeColor="text1"/>
                <w14:textFill>
                  <w14:solidFill>
                    <w14:schemeClr w14:val="tx1"/>
                  </w14:solidFill>
                </w14:textFill>
              </w:rPr>
              <w:t>已</w:t>
            </w:r>
            <w:r>
              <w:rPr>
                <w:rFonts w:hint="eastAsia"/>
                <w:color w:val="000000" w:themeColor="text1"/>
                <w:lang w:val="zh-CN"/>
                <w14:textFill>
                  <w14:solidFill>
                    <w14:schemeClr w14:val="tx1"/>
                  </w14:solidFill>
                </w14:textFill>
              </w:rPr>
              <w:t>经过培训合格；</w:t>
            </w: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有安全管理规章制度及安全管理人员；编制了应急预案，</w:t>
            </w:r>
            <w:r>
              <w:rPr>
                <w:rFonts w:hint="eastAsia"/>
                <w:color w:val="000000" w:themeColor="text1"/>
                <w14:textFill>
                  <w14:solidFill>
                    <w14:schemeClr w14:val="tx1"/>
                  </w14:solidFill>
                </w14:textFill>
              </w:rPr>
              <w:t>配备了</w:t>
            </w:r>
            <w:r>
              <w:rPr>
                <w:rFonts w:hint="eastAsia"/>
                <w:color w:val="000000" w:themeColor="text1"/>
                <w:lang w:val="zh-CN"/>
                <w14:textFill>
                  <w14:solidFill>
                    <w14:schemeClr w14:val="tx1"/>
                  </w14:solidFill>
                </w14:textFill>
              </w:rPr>
              <w:t>应急救援器材、设备。</w:t>
            </w:r>
          </w:p>
        </w:tc>
        <w:tc>
          <w:tcPr>
            <w:tcW w:w="644" w:type="dxa"/>
            <w:vAlign w:val="center"/>
          </w:tcPr>
          <w:p w14:paraId="4A21088C">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14:paraId="239E1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14:paraId="02EC69E8">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特殊作业</w:t>
            </w:r>
          </w:p>
        </w:tc>
        <w:tc>
          <w:tcPr>
            <w:tcW w:w="4426" w:type="dxa"/>
            <w:vAlign w:val="center"/>
          </w:tcPr>
          <w:p w14:paraId="7B470E8D">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作业单位和生产单位应对作业现场和作业过程中可能存在的危险、有害因素进行辨识，制定相应的安全措施。</w:t>
            </w:r>
          </w:p>
        </w:tc>
        <w:tc>
          <w:tcPr>
            <w:tcW w:w="1744" w:type="dxa"/>
            <w:vAlign w:val="center"/>
          </w:tcPr>
          <w:p w14:paraId="77EDFD9E">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）4.1条</w:t>
            </w:r>
          </w:p>
        </w:tc>
        <w:tc>
          <w:tcPr>
            <w:tcW w:w="1792" w:type="dxa"/>
            <w:vAlign w:val="center"/>
          </w:tcPr>
          <w:p w14:paraId="2947A916">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644" w:type="dxa"/>
            <w:vAlign w:val="center"/>
          </w:tcPr>
          <w:p w14:paraId="12926D23">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14:paraId="780CA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2CD6036A">
            <w:pPr>
              <w:pStyle w:val="77"/>
              <w:jc w:val="both"/>
              <w:rPr>
                <w:color w:val="000000" w:themeColor="text1"/>
                <w:lang w:val="zh-CN"/>
                <w14:textFill>
                  <w14:solidFill>
                    <w14:schemeClr w14:val="tx1"/>
                  </w14:solidFill>
                </w14:textFill>
              </w:rPr>
            </w:pPr>
          </w:p>
        </w:tc>
        <w:tc>
          <w:tcPr>
            <w:tcW w:w="4426" w:type="dxa"/>
            <w:vAlign w:val="center"/>
          </w:tcPr>
          <w:p w14:paraId="434AF7F9">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作业前，应对参加作业的人员进行安全教育，主要内容如下：a）有关作业的安全规章制度；</w:t>
            </w:r>
          </w:p>
          <w:p w14:paraId="31B99E39">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b）作业现场和作业过程中</w:t>
            </w:r>
            <w:r>
              <w:rPr>
                <w:color w:val="000000" w:themeColor="text1"/>
                <w:lang w:val="zh-CN"/>
                <w14:textFill>
                  <w14:solidFill>
                    <w14:schemeClr w14:val="tx1"/>
                  </w14:solidFill>
                </w14:textFill>
              </w:rPr>
              <w:t>可能存在的危险</w:t>
            </w:r>
            <w:r>
              <w:rPr>
                <w:rFonts w:hint="eastAsia"/>
                <w:color w:val="000000" w:themeColor="text1"/>
                <w:lang w:val="zh-CN"/>
                <w14:textFill>
                  <w14:solidFill>
                    <w14:schemeClr w14:val="tx1"/>
                  </w14:solidFill>
                </w14:textFill>
              </w:rPr>
              <w:t>、有害</w:t>
            </w:r>
            <w:r>
              <w:rPr>
                <w:color w:val="000000" w:themeColor="text1"/>
                <w:lang w:val="zh-CN"/>
                <w14:textFill>
                  <w14:solidFill>
                    <w14:schemeClr w14:val="tx1"/>
                  </w14:solidFill>
                </w14:textFill>
              </w:rPr>
              <w:t>因素及应采取的</w:t>
            </w:r>
            <w:r>
              <w:rPr>
                <w:rFonts w:hint="eastAsia"/>
                <w:color w:val="000000" w:themeColor="text1"/>
                <w:lang w:val="zh-CN"/>
                <w14:textFill>
                  <w14:solidFill>
                    <w14:schemeClr w14:val="tx1"/>
                  </w14:solidFill>
                </w14:textFill>
              </w:rPr>
              <w:t>具体</w:t>
            </w:r>
            <w:r>
              <w:rPr>
                <w:color w:val="000000" w:themeColor="text1"/>
                <w:lang w:val="zh-CN"/>
                <w14:textFill>
                  <w14:solidFill>
                    <w14:schemeClr w14:val="tx1"/>
                  </w14:solidFill>
                </w14:textFill>
              </w:rPr>
              <w:t>安全措施</w:t>
            </w:r>
            <w:r>
              <w:rPr>
                <w:rFonts w:hint="eastAsia"/>
                <w:color w:val="000000" w:themeColor="text1"/>
                <w:lang w:val="zh-CN"/>
                <w14:textFill>
                  <w14:solidFill>
                    <w14:schemeClr w14:val="tx1"/>
                  </w14:solidFill>
                </w14:textFill>
              </w:rPr>
              <w:t>；c）作业过程中所使用的个体防护器具的使用方法及使用注意事项；d）</w:t>
            </w:r>
            <w:r>
              <w:rPr>
                <w:color w:val="000000" w:themeColor="text1"/>
                <w:lang w:val="zh-CN"/>
                <w14:textFill>
                  <w14:solidFill>
                    <w14:schemeClr w14:val="tx1"/>
                  </w14:solidFill>
                </w14:textFill>
              </w:rPr>
              <w:t>事故的预防、避险、逃生、自救、互救等知识</w:t>
            </w:r>
            <w:r>
              <w:rPr>
                <w:rFonts w:hint="eastAsia"/>
                <w:color w:val="000000" w:themeColor="text1"/>
                <w:lang w:val="zh-CN"/>
                <w14:textFill>
                  <w14:solidFill>
                    <w14:schemeClr w14:val="tx1"/>
                  </w14:solidFill>
                </w14:textFill>
              </w:rPr>
              <w:t>；e）相关事故案例和经验、教训。</w:t>
            </w:r>
          </w:p>
        </w:tc>
        <w:tc>
          <w:tcPr>
            <w:tcW w:w="1744" w:type="dxa"/>
            <w:vAlign w:val="center"/>
          </w:tcPr>
          <w:p w14:paraId="56CFDF5B">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）4.2条</w:t>
            </w:r>
          </w:p>
        </w:tc>
        <w:tc>
          <w:tcPr>
            <w:tcW w:w="1792" w:type="dxa"/>
            <w:vAlign w:val="center"/>
          </w:tcPr>
          <w:p w14:paraId="7DDA80BB">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644" w:type="dxa"/>
            <w:vAlign w:val="center"/>
          </w:tcPr>
          <w:p w14:paraId="06DD7D34">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14:paraId="10BD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14:paraId="48E4494E">
            <w:pPr>
              <w:pStyle w:val="77"/>
              <w:jc w:val="both"/>
              <w:rPr>
                <w:color w:val="000000" w:themeColor="text1"/>
                <w:lang w:val="zh-CN"/>
                <w14:textFill>
                  <w14:solidFill>
                    <w14:schemeClr w14:val="tx1"/>
                  </w14:solidFill>
                </w14:textFill>
              </w:rPr>
            </w:pPr>
          </w:p>
        </w:tc>
        <w:tc>
          <w:tcPr>
            <w:tcW w:w="4426" w:type="dxa"/>
            <w:vAlign w:val="center"/>
          </w:tcPr>
          <w:p w14:paraId="1F67F1A3">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作业前，作业单位应办理作业审批手续，填写安全作业票（证），并由相关责任人签字确认。</w:t>
            </w:r>
          </w:p>
          <w:p w14:paraId="3A9EC8BD">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同一作业涉及两种或两种以上特殊作业时，除应同时执行相应的作业要求外，还应同时办理相应作业的审批手续。</w:t>
            </w:r>
          </w:p>
          <w:p w14:paraId="422EA77A">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作业时审批手续应齐全、安全措施应全部落实和确认、作业环境应符合安全要求。作业票（证）审批手续的相关内容参见附录 A。</w:t>
            </w:r>
          </w:p>
        </w:tc>
        <w:tc>
          <w:tcPr>
            <w:tcW w:w="1744" w:type="dxa"/>
            <w:vAlign w:val="center"/>
          </w:tcPr>
          <w:p w14:paraId="38082259">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w:t>
            </w:r>
            <w:r>
              <w:rPr>
                <w:color w:val="000000" w:themeColor="text1"/>
                <w:lang w:val="zh-CN"/>
                <w14:textFill>
                  <w14:solidFill>
                    <w14:schemeClr w14:val="tx1"/>
                  </w14:solidFill>
                </w14:textFill>
              </w:rPr>
              <w:t>7</w:t>
            </w:r>
            <w:r>
              <w:rPr>
                <w:rFonts w:hint="eastAsia"/>
                <w:color w:val="000000" w:themeColor="text1"/>
                <w:lang w:val="zh-CN"/>
                <w14:textFill>
                  <w14:solidFill>
                    <w14:schemeClr w14:val="tx1"/>
                  </w14:solidFill>
                </w14:textFill>
              </w:rPr>
              <w:t>条</w:t>
            </w:r>
          </w:p>
        </w:tc>
        <w:tc>
          <w:tcPr>
            <w:tcW w:w="1792" w:type="dxa"/>
            <w:vAlign w:val="center"/>
          </w:tcPr>
          <w:p w14:paraId="7EBC6A08">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644" w:type="dxa"/>
            <w:vAlign w:val="center"/>
          </w:tcPr>
          <w:p w14:paraId="5195ACF5">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bl>
    <w:p w14:paraId="09FD6B60">
      <w:pPr>
        <w:pStyle w:val="45"/>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安全管理检查结果：</w:t>
      </w:r>
    </w:p>
    <w:p w14:paraId="53BB7DC3">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14:paraId="248311FC">
      <w:pPr>
        <w:pStyle w:val="3"/>
        <w:rPr>
          <w:color w:val="000000" w:themeColor="text1"/>
          <w14:textFill>
            <w14:solidFill>
              <w14:schemeClr w14:val="tx1"/>
            </w14:solidFill>
          </w14:textFill>
        </w:rPr>
      </w:pPr>
      <w:bookmarkStart w:id="398" w:name="_Toc20363"/>
      <w:bookmarkStart w:id="399" w:name="_Hlk119859094"/>
      <w:bookmarkStart w:id="400" w:name="_Hlk85721837"/>
      <w:r>
        <w:rPr>
          <w:rFonts w:hint="eastAsia"/>
          <w:color w:val="000000" w:themeColor="text1"/>
          <w14:textFill>
            <w14:solidFill>
              <w14:schemeClr w14:val="tx1"/>
            </w14:solidFill>
          </w14:textFill>
        </w:rPr>
        <w:t>重大事故隐患分析评价</w:t>
      </w:r>
      <w:bookmarkEnd w:id="398"/>
    </w:p>
    <w:bookmarkEnd w:id="399"/>
    <w:p w14:paraId="143FC6A1">
      <w:pPr>
        <w:rPr>
          <w:color w:val="000000" w:themeColor="text1"/>
          <w14:textFill>
            <w14:solidFill>
              <w14:schemeClr w14:val="tx1"/>
            </w14:solidFill>
          </w14:textFill>
        </w:rPr>
      </w:pPr>
      <w:bookmarkStart w:id="401" w:name="_Hlk85715252"/>
      <w:r>
        <w:rPr>
          <w:rFonts w:hint="eastAsia"/>
          <w:color w:val="000000" w:themeColor="text1"/>
          <w14:textFill>
            <w14:solidFill>
              <w14:schemeClr w14:val="tx1"/>
            </w14:solidFill>
          </w14:textFill>
        </w:rPr>
        <w:t>根据《化工和危险化学品生产经营单位重大生产安全事故隐患判定标准（试行）》的要求，对</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重大生产安全事故隐患进行排查</w:t>
      </w:r>
      <w:bookmarkEnd w:id="401"/>
      <w:r>
        <w:rPr>
          <w:rFonts w:hint="eastAsia"/>
          <w:color w:val="000000" w:themeColor="text1"/>
          <w14:textFill>
            <w14:solidFill>
              <w14:schemeClr w14:val="tx1"/>
            </w14:solidFill>
          </w14:textFill>
        </w:rPr>
        <w:t>，具体见表6-7。</w:t>
      </w:r>
    </w:p>
    <w:p w14:paraId="770A85DC">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重大生产安全事故隐患检查表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809"/>
        <w:gridCol w:w="3666"/>
        <w:gridCol w:w="900"/>
      </w:tblGrid>
      <w:tr w14:paraId="03B33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14:paraId="522AEEF1">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3809" w:type="dxa"/>
            <w:vAlign w:val="center"/>
          </w:tcPr>
          <w:p w14:paraId="0A0DEFF0">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3666" w:type="dxa"/>
            <w:vAlign w:val="center"/>
          </w:tcPr>
          <w:p w14:paraId="270D2930">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实际情况</w:t>
            </w:r>
          </w:p>
        </w:tc>
        <w:tc>
          <w:tcPr>
            <w:tcW w:w="900" w:type="dxa"/>
            <w:vAlign w:val="center"/>
          </w:tcPr>
          <w:p w14:paraId="36922D83">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r>
      <w:tr w14:paraId="2EF81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037400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809" w:type="dxa"/>
            <w:vAlign w:val="center"/>
          </w:tcPr>
          <w:p w14:paraId="32F3E54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危险化学品生产、经营单位主要负责人和安全生产管理人员未依法经考核合格。</w:t>
            </w:r>
          </w:p>
        </w:tc>
        <w:tc>
          <w:tcPr>
            <w:tcW w:w="3666" w:type="dxa"/>
            <w:vAlign w:val="center"/>
          </w:tcPr>
          <w:p w14:paraId="713CB1B0">
            <w:pPr>
              <w:pStyle w:val="77"/>
              <w:rPr>
                <w:color w:val="000000" w:themeColor="text1"/>
                <w14:textFill>
                  <w14:solidFill>
                    <w14:schemeClr w14:val="tx1"/>
                  </w14:solidFill>
                </w14:textFill>
              </w:rPr>
            </w:pPr>
            <w:bookmarkStart w:id="402" w:name="_Hlk85715515"/>
            <w:r>
              <w:rPr>
                <w:rFonts w:hint="eastAsia"/>
                <w:color w:val="000000" w:themeColor="text1"/>
                <w14:textFill>
                  <w14:solidFill>
                    <w14:schemeClr w14:val="tx1"/>
                  </w14:solidFill>
                </w14:textFill>
              </w:rPr>
              <w:t>主要负责人和安全生产管理人员</w:t>
            </w:r>
            <w:bookmarkStart w:id="403" w:name="_Hlk85715675"/>
            <w:r>
              <w:rPr>
                <w:rFonts w:hint="eastAsia"/>
                <w:color w:val="000000" w:themeColor="text1"/>
                <w14:textFill>
                  <w14:solidFill>
                    <w14:schemeClr w14:val="tx1"/>
                  </w14:solidFill>
                </w14:textFill>
              </w:rPr>
              <w:t>依法经考核合格，持证上岗</w:t>
            </w:r>
            <w:bookmarkEnd w:id="402"/>
            <w:bookmarkEnd w:id="403"/>
            <w:r>
              <w:rPr>
                <w:rFonts w:hint="eastAsia"/>
                <w:color w:val="000000" w:themeColor="text1"/>
                <w14:textFill>
                  <w14:solidFill>
                    <w14:schemeClr w14:val="tx1"/>
                  </w14:solidFill>
                </w14:textFill>
              </w:rPr>
              <w:t>。</w:t>
            </w:r>
          </w:p>
        </w:tc>
        <w:tc>
          <w:tcPr>
            <w:tcW w:w="900" w:type="dxa"/>
            <w:vAlign w:val="center"/>
          </w:tcPr>
          <w:p w14:paraId="7EF78C5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2359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DD2FEB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809" w:type="dxa"/>
            <w:vAlign w:val="center"/>
          </w:tcPr>
          <w:p w14:paraId="0723305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特种作业人员未持证上岗。</w:t>
            </w:r>
          </w:p>
        </w:tc>
        <w:tc>
          <w:tcPr>
            <w:tcW w:w="3666" w:type="dxa"/>
            <w:vAlign w:val="center"/>
          </w:tcPr>
          <w:p w14:paraId="619939D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加油站特种作业人员委托有资质</w:t>
            </w:r>
            <w:r>
              <w:rPr>
                <w:rFonts w:hint="eastAsia"/>
                <w:color w:val="000000" w:themeColor="text1"/>
                <w:lang w:val="en-US" w:eastAsia="zh-CN"/>
                <w14:textFill>
                  <w14:solidFill>
                    <w14:schemeClr w14:val="tx1"/>
                  </w14:solidFill>
                </w14:textFill>
              </w:rPr>
              <w:t>单位的</w:t>
            </w:r>
            <w:r>
              <w:rPr>
                <w:rFonts w:hint="eastAsia"/>
                <w:color w:val="000000" w:themeColor="text1"/>
                <w14:textFill>
                  <w14:solidFill>
                    <w14:schemeClr w14:val="tx1"/>
                  </w14:solidFill>
                </w14:textFill>
              </w:rPr>
              <w:t>进行。</w:t>
            </w:r>
          </w:p>
        </w:tc>
        <w:tc>
          <w:tcPr>
            <w:tcW w:w="900" w:type="dxa"/>
            <w:vAlign w:val="center"/>
          </w:tcPr>
          <w:p w14:paraId="59BE82E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18AA4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38678D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809" w:type="dxa"/>
            <w:vAlign w:val="center"/>
          </w:tcPr>
          <w:p w14:paraId="2D56E60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涉及“两重点一重大”的生产装置、储存设施外部安全防护距离不符合国家标准要求。</w:t>
            </w:r>
          </w:p>
        </w:tc>
        <w:tc>
          <w:tcPr>
            <w:tcW w:w="3666" w:type="dxa"/>
            <w:vAlign w:val="center"/>
          </w:tcPr>
          <w:p w14:paraId="122F20F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汽油储存设施外部安全防护距离符合国家标准要求。</w:t>
            </w:r>
          </w:p>
        </w:tc>
        <w:tc>
          <w:tcPr>
            <w:tcW w:w="900" w:type="dxa"/>
            <w:vAlign w:val="center"/>
          </w:tcPr>
          <w:p w14:paraId="03460C3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11B9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98968C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3809" w:type="dxa"/>
            <w:vAlign w:val="center"/>
          </w:tcPr>
          <w:p w14:paraId="25AB1DB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涉及重点监管危险化工工艺的装置未实现自动化控制，系统未实现紧急停车功能，装备的自动化控制系统、紧急停车系统未投入使用。</w:t>
            </w:r>
          </w:p>
        </w:tc>
        <w:tc>
          <w:tcPr>
            <w:tcW w:w="3666" w:type="dxa"/>
            <w:vAlign w:val="center"/>
          </w:tcPr>
          <w:p w14:paraId="5665B08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无重点监管危险化工工艺的装置。</w:t>
            </w:r>
          </w:p>
        </w:tc>
        <w:tc>
          <w:tcPr>
            <w:tcW w:w="900" w:type="dxa"/>
            <w:vAlign w:val="center"/>
          </w:tcPr>
          <w:p w14:paraId="6A331B8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73112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2F844C7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809" w:type="dxa"/>
            <w:vAlign w:val="center"/>
          </w:tcPr>
          <w:p w14:paraId="5CF16E7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构成一级、二级重大危险源的危险化学品罐区未实现紧急切断功能；涉及毒性气体、液化气体、剧毒液体的一级、二级重大危险源的危险化学品罐区未配备独立的安全仪表系统。</w:t>
            </w:r>
          </w:p>
        </w:tc>
        <w:tc>
          <w:tcPr>
            <w:tcW w:w="3666" w:type="dxa"/>
            <w:vAlign w:val="center"/>
          </w:tcPr>
          <w:p w14:paraId="7819C8B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危险化学品储存数量未构成危险化学品重大危险源。</w:t>
            </w:r>
          </w:p>
        </w:tc>
        <w:tc>
          <w:tcPr>
            <w:tcW w:w="900" w:type="dxa"/>
            <w:vAlign w:val="center"/>
          </w:tcPr>
          <w:p w14:paraId="4D4CF6B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77E0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F54E9C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3809" w:type="dxa"/>
            <w:vAlign w:val="center"/>
          </w:tcPr>
          <w:p w14:paraId="2DA086D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全压力式液化烃储罐未按国家标准设置注水措施。</w:t>
            </w:r>
          </w:p>
        </w:tc>
        <w:tc>
          <w:tcPr>
            <w:tcW w:w="3666" w:type="dxa"/>
            <w:vAlign w:val="center"/>
          </w:tcPr>
          <w:p w14:paraId="500BF02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无全压力式液化烃储罐。</w:t>
            </w:r>
          </w:p>
        </w:tc>
        <w:tc>
          <w:tcPr>
            <w:tcW w:w="900" w:type="dxa"/>
            <w:vAlign w:val="center"/>
          </w:tcPr>
          <w:p w14:paraId="332CCF7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303B3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79CFF1B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3809" w:type="dxa"/>
            <w:vAlign w:val="center"/>
          </w:tcPr>
          <w:p w14:paraId="0D51F3D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液化烃、液氨、液氯等易燃易爆、有毒有害液化气体的充装未使用万向管道充装系统。</w:t>
            </w:r>
          </w:p>
        </w:tc>
        <w:tc>
          <w:tcPr>
            <w:tcW w:w="3666" w:type="dxa"/>
            <w:vAlign w:val="center"/>
          </w:tcPr>
          <w:p w14:paraId="10278AA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无液化烃、液氨、液氯等易燃易爆、有毒有害液化气体的充装。</w:t>
            </w:r>
          </w:p>
        </w:tc>
        <w:tc>
          <w:tcPr>
            <w:tcW w:w="900" w:type="dxa"/>
            <w:vAlign w:val="center"/>
          </w:tcPr>
          <w:p w14:paraId="39A2457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78B69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B28D6C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3809" w:type="dxa"/>
            <w:vAlign w:val="center"/>
          </w:tcPr>
          <w:p w14:paraId="1BD8863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光气、氯气等剧毒气体及硫化氢气体管道穿越除厂区（包括化工园区、工业园区）外的公共区域。</w:t>
            </w:r>
          </w:p>
        </w:tc>
        <w:tc>
          <w:tcPr>
            <w:tcW w:w="3666" w:type="dxa"/>
            <w:vAlign w:val="center"/>
          </w:tcPr>
          <w:p w14:paraId="40EE80C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无光气、氯气等剧毒气体及硫化氢气体管道。</w:t>
            </w:r>
          </w:p>
        </w:tc>
        <w:tc>
          <w:tcPr>
            <w:tcW w:w="900" w:type="dxa"/>
            <w:vAlign w:val="center"/>
          </w:tcPr>
          <w:p w14:paraId="207BAE3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39661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D5FD15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3809" w:type="dxa"/>
            <w:vAlign w:val="center"/>
          </w:tcPr>
          <w:p w14:paraId="51C7A15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地区架空电力线路穿越生产区且不符合国家标准要求。</w:t>
            </w:r>
          </w:p>
        </w:tc>
        <w:tc>
          <w:tcPr>
            <w:tcW w:w="3666" w:type="dxa"/>
            <w:vAlign w:val="center"/>
          </w:tcPr>
          <w:p w14:paraId="35BB6ABE">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无地区架空电力线路穿越加油站的加油作业区。</w:t>
            </w:r>
          </w:p>
        </w:tc>
        <w:tc>
          <w:tcPr>
            <w:tcW w:w="900" w:type="dxa"/>
            <w:vAlign w:val="center"/>
          </w:tcPr>
          <w:p w14:paraId="40B457E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3C92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FFBA94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3809" w:type="dxa"/>
            <w:vAlign w:val="center"/>
          </w:tcPr>
          <w:p w14:paraId="67A81FF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在役化工装置未经正规设计且未进行安全设计诊断。</w:t>
            </w:r>
          </w:p>
        </w:tc>
        <w:tc>
          <w:tcPr>
            <w:tcW w:w="3666" w:type="dxa"/>
            <w:vAlign w:val="center"/>
          </w:tcPr>
          <w:p w14:paraId="779DDBF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加油站不属于化工装置。</w:t>
            </w:r>
          </w:p>
        </w:tc>
        <w:tc>
          <w:tcPr>
            <w:tcW w:w="900" w:type="dxa"/>
            <w:vAlign w:val="center"/>
          </w:tcPr>
          <w:p w14:paraId="5FF6FB4F">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405B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7763355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3809" w:type="dxa"/>
            <w:vAlign w:val="center"/>
          </w:tcPr>
          <w:p w14:paraId="5640302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使用淘汰落后安全技术工艺、设备目录列出的工艺、设备。</w:t>
            </w:r>
          </w:p>
        </w:tc>
        <w:tc>
          <w:tcPr>
            <w:tcW w:w="3666" w:type="dxa"/>
            <w:vAlign w:val="center"/>
          </w:tcPr>
          <w:p w14:paraId="156AF4A2">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c>
          <w:tcPr>
            <w:tcW w:w="900" w:type="dxa"/>
            <w:vAlign w:val="center"/>
          </w:tcPr>
          <w:p w14:paraId="46527E9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12B35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4485A86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3809" w:type="dxa"/>
            <w:vAlign w:val="center"/>
          </w:tcPr>
          <w:p w14:paraId="3FD9D84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涉及可燃和有毒有害气体泄漏的场所未按国家标准设置检测报警装置，爆炸危险场所未按国家标准安装使用防爆电气设备。</w:t>
            </w:r>
          </w:p>
        </w:tc>
        <w:tc>
          <w:tcPr>
            <w:tcW w:w="3666" w:type="dxa"/>
            <w:vAlign w:val="center"/>
          </w:tcPr>
          <w:p w14:paraId="1B21F6C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不涉及有毒有害气体泄漏的场所；油罐采用防爆潜油泵、加油作业区内采用防爆电气设备。</w:t>
            </w:r>
          </w:p>
        </w:tc>
        <w:tc>
          <w:tcPr>
            <w:tcW w:w="900" w:type="dxa"/>
            <w:vAlign w:val="center"/>
          </w:tcPr>
          <w:p w14:paraId="0DBB8FB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9B02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8D54C4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3809" w:type="dxa"/>
            <w:vAlign w:val="center"/>
          </w:tcPr>
          <w:p w14:paraId="6073232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控制室或机柜间面向具有火灾、爆炸危险性装置一侧不满足国家标准关于防火防爆的要求。</w:t>
            </w:r>
          </w:p>
        </w:tc>
        <w:tc>
          <w:tcPr>
            <w:tcW w:w="3666" w:type="dxa"/>
            <w:vAlign w:val="center"/>
          </w:tcPr>
          <w:p w14:paraId="2B36FCC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加油站无控制室或机柜间。</w:t>
            </w:r>
          </w:p>
        </w:tc>
        <w:tc>
          <w:tcPr>
            <w:tcW w:w="900" w:type="dxa"/>
            <w:vAlign w:val="center"/>
          </w:tcPr>
          <w:p w14:paraId="49505B4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269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DD5F66A">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3809" w:type="dxa"/>
            <w:vAlign w:val="center"/>
          </w:tcPr>
          <w:p w14:paraId="3ADF056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化工生产装置未按国家标准要求设置双重电源供电，自动化控制系统未设置不间断电源。</w:t>
            </w:r>
          </w:p>
        </w:tc>
        <w:tc>
          <w:tcPr>
            <w:tcW w:w="3666" w:type="dxa"/>
            <w:vAlign w:val="center"/>
          </w:tcPr>
          <w:p w14:paraId="0868F9B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站内不涉及化工生产装置。</w:t>
            </w:r>
          </w:p>
        </w:tc>
        <w:tc>
          <w:tcPr>
            <w:tcW w:w="900" w:type="dxa"/>
            <w:vAlign w:val="center"/>
          </w:tcPr>
          <w:p w14:paraId="0566FE7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37447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5D09278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3809" w:type="dxa"/>
            <w:vAlign w:val="center"/>
          </w:tcPr>
          <w:p w14:paraId="6500BC0C">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安全阀、爆破片等安全附件未正常投用。</w:t>
            </w:r>
          </w:p>
        </w:tc>
        <w:tc>
          <w:tcPr>
            <w:tcW w:w="3666" w:type="dxa"/>
            <w:vAlign w:val="center"/>
          </w:tcPr>
          <w:p w14:paraId="1C4809AB">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站内不涉及带压容器。</w:t>
            </w:r>
          </w:p>
        </w:tc>
        <w:tc>
          <w:tcPr>
            <w:tcW w:w="900" w:type="dxa"/>
            <w:vAlign w:val="center"/>
          </w:tcPr>
          <w:p w14:paraId="0ED3202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17B19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23476AD6">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3809" w:type="dxa"/>
            <w:vAlign w:val="center"/>
          </w:tcPr>
          <w:p w14:paraId="26C11277">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与岗位相匹配的全员安全生产责任制或者未制定实施生产安全事故隐患排查治理制度。</w:t>
            </w:r>
          </w:p>
        </w:tc>
        <w:tc>
          <w:tcPr>
            <w:tcW w:w="3666" w:type="dxa"/>
            <w:vAlign w:val="center"/>
          </w:tcPr>
          <w:p w14:paraId="0B3ADFD9">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制定有安全生产责任制和生产安全事故隐患排查治理制度。</w:t>
            </w:r>
          </w:p>
        </w:tc>
        <w:tc>
          <w:tcPr>
            <w:tcW w:w="900" w:type="dxa"/>
            <w:vAlign w:val="center"/>
          </w:tcPr>
          <w:p w14:paraId="08228B7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6243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0E67D4C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3809" w:type="dxa"/>
            <w:vAlign w:val="center"/>
          </w:tcPr>
          <w:p w14:paraId="6A8FFE0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未制定操作规程和工艺控制指标。</w:t>
            </w:r>
          </w:p>
        </w:tc>
        <w:tc>
          <w:tcPr>
            <w:tcW w:w="3666" w:type="dxa"/>
            <w:vAlign w:val="center"/>
          </w:tcPr>
          <w:p w14:paraId="6FAABCAD">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制定有操作规程，液位、渗漏在线监测设有工艺控制指标。</w:t>
            </w:r>
          </w:p>
        </w:tc>
        <w:tc>
          <w:tcPr>
            <w:tcW w:w="900" w:type="dxa"/>
            <w:vAlign w:val="center"/>
          </w:tcPr>
          <w:p w14:paraId="1A19C3C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3A6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1F0C9A2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3809" w:type="dxa"/>
            <w:vAlign w:val="center"/>
          </w:tcPr>
          <w:p w14:paraId="0C355AA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未按照国家标准制定动火、进入受限空间等特殊作业管理制度，或者制度未有效执行。</w:t>
            </w:r>
          </w:p>
        </w:tc>
        <w:tc>
          <w:tcPr>
            <w:tcW w:w="3666" w:type="dxa"/>
            <w:vAlign w:val="center"/>
          </w:tcPr>
          <w:p w14:paraId="494EDCE3">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制定有动火、进入受限空间等特殊作业管理制度并按要求执行。</w:t>
            </w:r>
          </w:p>
        </w:tc>
        <w:tc>
          <w:tcPr>
            <w:tcW w:w="900" w:type="dxa"/>
            <w:vAlign w:val="center"/>
          </w:tcPr>
          <w:p w14:paraId="4BCF356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E5A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6CB0F420">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3809" w:type="dxa"/>
            <w:vAlign w:val="center"/>
          </w:tcPr>
          <w:p w14:paraId="524C7794">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666" w:type="dxa"/>
            <w:vAlign w:val="center"/>
          </w:tcPr>
          <w:p w14:paraId="3DBDE03E">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不属于新开发的危险化学品生产工艺。</w:t>
            </w:r>
          </w:p>
        </w:tc>
        <w:tc>
          <w:tcPr>
            <w:tcW w:w="900" w:type="dxa"/>
            <w:vAlign w:val="center"/>
          </w:tcPr>
          <w:p w14:paraId="23EC9D0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14:paraId="1D212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14:paraId="291F8BE8">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809" w:type="dxa"/>
            <w:vAlign w:val="center"/>
          </w:tcPr>
          <w:p w14:paraId="50ABAF52">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未按国家标准分区分类储存危险化学品，超量、超品种储存危险化学品，相互禁配物质混放混存。</w:t>
            </w:r>
          </w:p>
        </w:tc>
        <w:tc>
          <w:tcPr>
            <w:tcW w:w="3666" w:type="dxa"/>
            <w:vAlign w:val="center"/>
          </w:tcPr>
          <w:p w14:paraId="4F36DBA1">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每个油罐储存一种油品，油罐设置超液位报警，不存在超量、超品种储存，不存在相互禁配物质混放混存。</w:t>
            </w:r>
          </w:p>
        </w:tc>
        <w:tc>
          <w:tcPr>
            <w:tcW w:w="900" w:type="dxa"/>
            <w:vAlign w:val="center"/>
          </w:tcPr>
          <w:p w14:paraId="0C2849F5">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bookmarkEnd w:id="400"/>
    </w:tbl>
    <w:p w14:paraId="13AF3571">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通过检查分析，</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现阶段无重大生产安全事故隐患。</w:t>
      </w:r>
    </w:p>
    <w:p w14:paraId="5E22DD1B">
      <w:pPr>
        <w:pStyle w:val="3"/>
        <w:rPr>
          <w:color w:val="000000" w:themeColor="text1"/>
          <w14:textFill>
            <w14:solidFill>
              <w14:schemeClr w14:val="tx1"/>
            </w14:solidFill>
          </w14:textFill>
        </w:rPr>
      </w:pPr>
      <w:bookmarkStart w:id="404" w:name="_Toc19295"/>
      <w:r>
        <w:rPr>
          <w:rFonts w:hint="eastAsia"/>
          <w:color w:val="000000" w:themeColor="text1"/>
          <w14:textFill>
            <w14:solidFill>
              <w14:schemeClr w14:val="tx1"/>
            </w14:solidFill>
          </w14:textFill>
        </w:rPr>
        <w:t>各单元评价小结</w:t>
      </w:r>
      <w:bookmarkEnd w:id="404"/>
    </w:p>
    <w:p w14:paraId="4456F3DF">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（1）外部安全条件单元：该加油站周边环境对加油站的影响在可接受范围内，所在地的自然条件对加油站运行的影响在可接受和可控制的范围内。</w:t>
      </w:r>
    </w:p>
    <w:p w14:paraId="57C54CAD">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14:paraId="225C2ACA">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14:paraId="63FF32FF">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（4）公用工程单元：该加油站采用外接电源供电，加油站的供排水、供配电均能够满足加油站正常经营的要求。</w:t>
      </w:r>
    </w:p>
    <w:p w14:paraId="5A79E5CD">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（5）安全设施单元：该加油站设置的安全设施符合《汽车加油加气加氢站技术标准》（GB50156-2021）的要求。</w:t>
      </w:r>
    </w:p>
    <w:p w14:paraId="707BA971">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（6）安全管理单元：该加油站建立了相应的安全管理组织，制定了相应的安全管理规章制度。配备的救援器材满足加油站应急救援的需要。</w:t>
      </w:r>
    </w:p>
    <w:p w14:paraId="00C4BBF8">
      <w:pPr>
        <w:rPr>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r>
        <w:rPr>
          <w:rFonts w:hint="eastAsia"/>
          <w:color w:val="000000" w:themeColor="text1"/>
          <w14:textFill>
            <w14:solidFill>
              <w14:schemeClr w14:val="tx1"/>
            </w14:solidFill>
          </w14:textFill>
        </w:rPr>
        <w:t>（7）重大事故隐患分析评价单元：该加油站现阶段无重大生产安全事故隐患。</w:t>
      </w:r>
    </w:p>
    <w:bookmarkEnd w:id="397"/>
    <w:p w14:paraId="31863883">
      <w:pPr>
        <w:pStyle w:val="2"/>
        <w:spacing w:before="193" w:after="193"/>
        <w:rPr>
          <w:color w:val="000000" w:themeColor="text1"/>
          <w14:textFill>
            <w14:solidFill>
              <w14:schemeClr w14:val="tx1"/>
            </w14:solidFill>
          </w14:textFill>
        </w:rPr>
      </w:pPr>
      <w:bookmarkStart w:id="405" w:name="_Toc29132"/>
      <w:r>
        <w:rPr>
          <w:rFonts w:hint="eastAsia"/>
          <w:color w:val="000000" w:themeColor="text1"/>
          <w14:textFill>
            <w14:solidFill>
              <w14:schemeClr w14:val="tx1"/>
            </w14:solidFill>
          </w14:textFill>
        </w:rPr>
        <w:t>安全对策措施及建议</w:t>
      </w:r>
      <w:bookmarkEnd w:id="405"/>
    </w:p>
    <w:p w14:paraId="38F1DC76">
      <w:pPr>
        <w:pStyle w:val="3"/>
        <w:rPr>
          <w:color w:val="000000" w:themeColor="text1"/>
          <w14:textFill>
            <w14:solidFill>
              <w14:schemeClr w14:val="tx1"/>
            </w14:solidFill>
          </w14:textFill>
        </w:rPr>
      </w:pPr>
      <w:bookmarkStart w:id="406" w:name="_Toc3965"/>
      <w:r>
        <w:rPr>
          <w:rFonts w:hint="eastAsia"/>
          <w:color w:val="000000" w:themeColor="text1"/>
          <w14:textFill>
            <w14:solidFill>
              <w14:schemeClr w14:val="tx1"/>
            </w14:solidFill>
          </w14:textFill>
        </w:rPr>
        <w:t>存在问题及整改建议</w:t>
      </w:r>
      <w:bookmarkEnd w:id="406"/>
    </w:p>
    <w:p w14:paraId="0C099B72">
      <w:pPr>
        <w:pStyle w:val="4"/>
        <w:ind w:firstLine="562"/>
        <w:rPr>
          <w:color w:val="000000" w:themeColor="text1"/>
          <w14:textFill>
            <w14:solidFill>
              <w14:schemeClr w14:val="tx1"/>
            </w14:solidFill>
          </w14:textFill>
        </w:rPr>
      </w:pPr>
      <w:bookmarkStart w:id="407" w:name="_Toc10097"/>
      <w:r>
        <w:rPr>
          <w:rFonts w:hint="eastAsia"/>
          <w:color w:val="000000" w:themeColor="text1"/>
          <w14:textFill>
            <w14:solidFill>
              <w14:schemeClr w14:val="tx1"/>
            </w14:solidFill>
          </w14:textFill>
        </w:rPr>
        <w:t>存在问题</w:t>
      </w:r>
      <w:bookmarkEnd w:id="407"/>
    </w:p>
    <w:p w14:paraId="4242A24C">
      <w:pPr>
        <w:rPr>
          <w:rFonts w:hint="default"/>
          <w:color w:val="000000" w:themeColor="text1"/>
          <w:lang w:val="en-US" w:eastAsia="zh-CN"/>
          <w14:textFill>
            <w14:solidFill>
              <w14:schemeClr w14:val="tx1"/>
            </w14:solidFill>
          </w14:textFill>
        </w:rPr>
      </w:pPr>
      <w:bookmarkStart w:id="408" w:name="_Hlk112254985"/>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eastAsia"/>
          <w:lang w:val="en-US" w:eastAsia="zh-CN"/>
        </w:rPr>
        <w:t>发电机房、</w:t>
      </w:r>
      <w:r>
        <w:rPr>
          <w:rFonts w:hint="eastAsia"/>
          <w:lang w:eastAsia="zh-CN"/>
        </w:rPr>
        <w:t>加油机内的穿线管</w:t>
      </w:r>
      <w:r>
        <w:rPr>
          <w:rFonts w:hint="eastAsia"/>
          <w:lang w:val="en-US" w:eastAsia="zh-CN"/>
        </w:rPr>
        <w:t>未进行封堵</w:t>
      </w:r>
      <w:r>
        <w:rPr>
          <w:rFonts w:hint="default"/>
          <w:color w:val="000000" w:themeColor="text1"/>
          <w:lang w:val="en-US" w:eastAsia="zh-CN"/>
          <w14:textFill>
            <w14:solidFill>
              <w14:schemeClr w14:val="tx1"/>
            </w14:solidFill>
          </w14:textFill>
        </w:rPr>
        <w:t>；</w:t>
      </w:r>
    </w:p>
    <w:p w14:paraId="70D2092D">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lang w:val="en-US" w:eastAsia="zh-CN"/>
        </w:rPr>
        <w:t>油罐区操作井内有积水及杂物，未及时清理；</w:t>
      </w:r>
    </w:p>
    <w:p w14:paraId="347B0E9E">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lang w:eastAsia="zh-CN"/>
        </w:rPr>
        <w:t>卸油区静电导除桩</w:t>
      </w:r>
      <w:r>
        <w:rPr>
          <w:rFonts w:hint="eastAsia"/>
          <w:lang w:val="en-US" w:eastAsia="zh-CN"/>
        </w:rPr>
        <w:t>失效。</w:t>
      </w:r>
    </w:p>
    <w:bookmarkEnd w:id="408"/>
    <w:p w14:paraId="19346899">
      <w:pPr>
        <w:pStyle w:val="4"/>
        <w:ind w:firstLine="562"/>
        <w:rPr>
          <w:color w:val="000000" w:themeColor="text1"/>
          <w14:textFill>
            <w14:solidFill>
              <w14:schemeClr w14:val="tx1"/>
            </w14:solidFill>
          </w14:textFill>
        </w:rPr>
      </w:pPr>
      <w:bookmarkStart w:id="409" w:name="_Toc24751"/>
      <w:r>
        <w:rPr>
          <w:rFonts w:hint="eastAsia"/>
          <w:color w:val="000000" w:themeColor="text1"/>
          <w14:textFill>
            <w14:solidFill>
              <w14:schemeClr w14:val="tx1"/>
            </w14:solidFill>
          </w14:textFill>
        </w:rPr>
        <w:t>存在问题的整改建议</w:t>
      </w:r>
      <w:bookmarkEnd w:id="409"/>
    </w:p>
    <w:p w14:paraId="4F691807">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1.应</w:t>
      </w:r>
      <w:r>
        <w:rPr>
          <w:rFonts w:hint="eastAsia"/>
          <w:lang w:val="en-US" w:eastAsia="zh-CN"/>
        </w:rPr>
        <w:t>按要求</w:t>
      </w:r>
      <w:r>
        <w:rPr>
          <w:rFonts w:hint="eastAsia"/>
          <w:lang w:eastAsia="zh-CN"/>
        </w:rPr>
        <w:t>用防火胶泥</w:t>
      </w:r>
      <w:r>
        <w:rPr>
          <w:rFonts w:hint="eastAsia"/>
          <w:lang w:val="en-US" w:eastAsia="zh-CN"/>
        </w:rPr>
        <w:t>对发电机房、</w:t>
      </w:r>
      <w:r>
        <w:rPr>
          <w:rFonts w:hint="eastAsia"/>
          <w:lang w:eastAsia="zh-CN"/>
        </w:rPr>
        <w:t>加油机内的穿线管</w:t>
      </w:r>
      <w:r>
        <w:rPr>
          <w:rFonts w:hint="eastAsia"/>
          <w:lang w:val="en-US" w:eastAsia="zh-CN"/>
        </w:rPr>
        <w:t>进行封堵</w:t>
      </w:r>
      <w:r>
        <w:rPr>
          <w:rFonts w:hint="eastAsia"/>
          <w:color w:val="000000" w:themeColor="text1"/>
          <w:lang w:val="en-US" w:eastAsia="zh-CN"/>
          <w14:textFill>
            <w14:solidFill>
              <w14:schemeClr w14:val="tx1"/>
            </w14:solidFill>
          </w14:textFill>
        </w:rPr>
        <w:t>；</w:t>
      </w:r>
    </w:p>
    <w:p w14:paraId="131126DF">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2.应及时</w:t>
      </w:r>
      <w:r>
        <w:rPr>
          <w:rFonts w:hint="eastAsia"/>
          <w:lang w:val="en-US" w:eastAsia="zh-CN"/>
        </w:rPr>
        <w:t>清理油罐区操作井内积水及杂物</w:t>
      </w:r>
      <w:r>
        <w:rPr>
          <w:rFonts w:hint="eastAsia"/>
          <w:color w:val="000000" w:themeColor="text1"/>
          <w:lang w:val="en-US" w:eastAsia="zh-CN"/>
          <w14:textFill>
            <w14:solidFill>
              <w14:schemeClr w14:val="tx1"/>
            </w14:solidFill>
          </w14:textFill>
        </w:rPr>
        <w:t>；</w:t>
      </w:r>
    </w:p>
    <w:p w14:paraId="7D1D570F">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lang w:val="en-US" w:eastAsia="zh-CN"/>
        </w:rPr>
        <w:t>应及时维修</w:t>
      </w:r>
      <w:r>
        <w:rPr>
          <w:rFonts w:hint="eastAsia"/>
          <w:lang w:eastAsia="zh-CN"/>
        </w:rPr>
        <w:t>卸油区静电导除桩，</w:t>
      </w:r>
      <w:r>
        <w:rPr>
          <w:rFonts w:hint="eastAsia"/>
          <w:lang w:val="en-US" w:eastAsia="zh-CN"/>
        </w:rPr>
        <w:t>确保</w:t>
      </w:r>
      <w:r>
        <w:rPr>
          <w:rFonts w:hint="eastAsia"/>
          <w:lang w:eastAsia="zh-CN"/>
        </w:rPr>
        <w:t>静电导除桩</w:t>
      </w:r>
      <w:r>
        <w:rPr>
          <w:rFonts w:hint="eastAsia"/>
          <w:lang w:val="en-US" w:eastAsia="zh-CN"/>
        </w:rPr>
        <w:t>有效运行</w:t>
      </w:r>
      <w:r>
        <w:rPr>
          <w:rFonts w:hint="eastAsia"/>
          <w:lang w:eastAsia="zh-CN"/>
        </w:rPr>
        <w:t>。</w:t>
      </w:r>
    </w:p>
    <w:p w14:paraId="558F2D77">
      <w:pPr>
        <w:pStyle w:val="4"/>
        <w:ind w:firstLine="562"/>
        <w:rPr>
          <w:color w:val="000000" w:themeColor="text1"/>
          <w14:textFill>
            <w14:solidFill>
              <w14:schemeClr w14:val="tx1"/>
            </w14:solidFill>
          </w14:textFill>
        </w:rPr>
      </w:pPr>
      <w:bookmarkStart w:id="410" w:name="_Toc29974"/>
      <w:r>
        <w:rPr>
          <w:rFonts w:hint="eastAsia"/>
          <w:color w:val="000000" w:themeColor="text1"/>
          <w14:textFill>
            <w14:solidFill>
              <w14:schemeClr w14:val="tx1"/>
            </w14:solidFill>
          </w14:textFill>
        </w:rPr>
        <w:t>存在问题整改情况</w:t>
      </w:r>
      <w:bookmarkEnd w:id="410"/>
    </w:p>
    <w:p w14:paraId="6A3616DE">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根据评价提出的整改建议，</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已进行了整改，具体的整改情况见附件。</w:t>
      </w:r>
    </w:p>
    <w:p w14:paraId="0263682E">
      <w:pPr>
        <w:pStyle w:val="3"/>
        <w:rPr>
          <w:color w:val="000000" w:themeColor="text1"/>
          <w14:textFill>
            <w14:solidFill>
              <w14:schemeClr w14:val="tx1"/>
            </w14:solidFill>
          </w14:textFill>
        </w:rPr>
      </w:pPr>
      <w:bookmarkStart w:id="411" w:name="_Toc27949"/>
      <w:r>
        <w:rPr>
          <w:rFonts w:hint="eastAsia"/>
          <w:color w:val="000000" w:themeColor="text1"/>
          <w14:textFill>
            <w14:solidFill>
              <w14:schemeClr w14:val="tx1"/>
            </w14:solidFill>
          </w14:textFill>
        </w:rPr>
        <w:t>安全对策措施及建议</w:t>
      </w:r>
      <w:bookmarkEnd w:id="411"/>
    </w:p>
    <w:p w14:paraId="567BB056">
      <w:pPr>
        <w:rPr>
          <w:color w:val="000000" w:themeColor="text1"/>
          <w14:textFill>
            <w14:solidFill>
              <w14:schemeClr w14:val="tx1"/>
            </w14:solidFill>
          </w14:textFill>
        </w:rPr>
      </w:pPr>
      <w:r>
        <w:rPr>
          <w:rFonts w:hint="eastAsia"/>
          <w:color w:val="000000" w:themeColor="text1"/>
          <w14:textFill>
            <w14:solidFill>
              <w14:schemeClr w14:val="tx1"/>
            </w14:solidFill>
          </w14:textFill>
        </w:rPr>
        <w:t>本节根据加油站主要存在的危险及有害因素，加油站工艺及装置的特征和有关标准、规范，从以下几方面提出如下的安全对策措施及建议，加油站在运营过程中还须认真采纳，进一步提高加油站运营的安全性。</w:t>
      </w:r>
    </w:p>
    <w:p w14:paraId="4B71519B">
      <w:pPr>
        <w:pStyle w:val="4"/>
        <w:ind w:firstLine="562"/>
        <w:rPr>
          <w:color w:val="000000" w:themeColor="text1"/>
          <w14:textFill>
            <w14:solidFill>
              <w14:schemeClr w14:val="tx1"/>
            </w14:solidFill>
          </w14:textFill>
        </w:rPr>
      </w:pPr>
      <w:bookmarkStart w:id="412" w:name="_Toc17398"/>
      <w:r>
        <w:rPr>
          <w:rFonts w:hint="eastAsia"/>
          <w:color w:val="000000" w:themeColor="text1"/>
          <w14:textFill>
            <w14:solidFill>
              <w14:schemeClr w14:val="tx1"/>
            </w14:solidFill>
          </w14:textFill>
        </w:rPr>
        <w:t>防火、防爆安全对策措施及建议</w:t>
      </w:r>
      <w:bookmarkEnd w:id="412"/>
    </w:p>
    <w:p w14:paraId="12E4EB7A">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加油站是消防安全的重点单位。针对加油站发生火灾、爆炸的具体原因，提出下列安全对策措施及建议：</w:t>
      </w:r>
    </w:p>
    <w:p w14:paraId="4EC40B2E">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消除可燃物</w:t>
      </w:r>
    </w:p>
    <w:p w14:paraId="65827D45">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①加强卸油、加油作业管理，尽量避免油品泼洒在地上，及时清除地上污油，保持作业场所清洁干净。</w:t>
      </w:r>
    </w:p>
    <w:p w14:paraId="58AEC319">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②油罐应采取卸油时的防满溢措施，油料达到油罐容量90%时，应能触动高液位报警装置；油料达到油罐容量95%时，应能自动停止油料继续进罐，防止卸油时发生泄漏。</w:t>
      </w:r>
    </w:p>
    <w:p w14:paraId="1998202E">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 3 \* GB3</w:instrText>
      </w:r>
      <w:r>
        <w:rPr>
          <w:color w:val="000000" w:themeColor="text1"/>
          <w:lang w:val="zh-CN"/>
          <w14:textFill>
            <w14:solidFill>
              <w14:schemeClr w14:val="tx1"/>
            </w14:solidFill>
          </w14:textFill>
        </w:rPr>
        <w:instrText xml:space="preserve"> </w:instrText>
      </w:r>
      <w:r>
        <w:rPr>
          <w:color w:val="000000" w:themeColor="text1"/>
          <w:lang w:val="zh-CN"/>
          <w14:textFill>
            <w14:solidFill>
              <w14:schemeClr w14:val="tx1"/>
            </w14:solidFill>
          </w14:textFill>
        </w:rPr>
        <w:fldChar w:fldCharType="separate"/>
      </w:r>
      <w:r>
        <w:rPr>
          <w:rFonts w:hint="eastAsia"/>
          <w:color w:val="000000" w:themeColor="text1"/>
          <w:lang w:val="zh-CN"/>
          <w14:textFill>
            <w14:solidFill>
              <w14:schemeClr w14:val="tx1"/>
            </w14:solidFill>
          </w14:textFill>
        </w:rPr>
        <w:t>③</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定期检查储油、装卸油设备设施，保证加油站设备正常安全运行。</w:t>
      </w:r>
    </w:p>
    <w:p w14:paraId="6E98CB2A">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消除点火源</w:t>
      </w:r>
    </w:p>
    <w:p w14:paraId="69FCF843">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消除点火源是加油站防火、防爆最有效的安全措施。加油站的实际生产运行管理应采取以下安全防范措施：</w:t>
      </w:r>
    </w:p>
    <w:p w14:paraId="0704AB40">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）禁绝明火</w:t>
      </w:r>
    </w:p>
    <w:p w14:paraId="5405E2C3">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①在爆炸危险区动火时，应按相应管理制度办理动火票，检测可燃气体浓度。严禁违反作业规程盲目动火、收工后留有火种、无现场监理人员在现场时动火；</w:t>
      </w:r>
    </w:p>
    <w:p w14:paraId="670B2A48">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②严格限制一切明火进入加油站。</w:t>
      </w:r>
    </w:p>
    <w:p w14:paraId="6A7F49BE">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）防止撞击起火：禁止在各爆炸危险区域敲打铁器。</w:t>
      </w:r>
    </w:p>
    <w:p w14:paraId="0138DEF8">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）防止电器火花及短路起火。</w:t>
      </w:r>
    </w:p>
    <w:p w14:paraId="4584D85F">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①定期对各防爆电器进行检测，及时更换失效的防爆电器；</w:t>
      </w:r>
    </w:p>
    <w:p w14:paraId="1F1852D0">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②油罐区观测井内配置的水泵应选用防爆型，现场设置的水泵启动开关也应选用防爆型。</w:t>
      </w:r>
    </w:p>
    <w:p w14:paraId="4C562080">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4</w:t>
      </w:r>
      <w:r>
        <w:rPr>
          <w:rFonts w:hint="eastAsia"/>
          <w:color w:val="000000" w:themeColor="text1"/>
          <w:lang w:val="zh-CN"/>
          <w14:textFill>
            <w14:solidFill>
              <w14:schemeClr w14:val="tx1"/>
            </w14:solidFill>
          </w14:textFill>
        </w:rPr>
        <w:t>）防止静电火花</w:t>
      </w:r>
    </w:p>
    <w:p w14:paraId="0BD640D8">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①避免静电聚集；</w:t>
      </w:r>
    </w:p>
    <w:p w14:paraId="5623D0A3">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②定期检查各静电接地装置，及时更换失效的静电接地装置；</w:t>
      </w:r>
    </w:p>
    <w:p w14:paraId="5850C88B">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③严格按操作规程作业。</w:t>
      </w:r>
    </w:p>
    <w:p w14:paraId="2E795025">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5</w:t>
      </w:r>
      <w:r>
        <w:rPr>
          <w:rFonts w:hint="eastAsia"/>
          <w:color w:val="000000" w:themeColor="text1"/>
          <w:lang w:val="zh-CN"/>
          <w14:textFill>
            <w14:solidFill>
              <w14:schemeClr w14:val="tx1"/>
            </w14:solidFill>
          </w14:textFill>
        </w:rPr>
        <w:t>）防止雷击：定期对防雷、防静电设施设备进行检测，对不符合规范要求的应及时整改。</w:t>
      </w:r>
    </w:p>
    <w:p w14:paraId="575E11D5">
      <w:pPr>
        <w:pStyle w:val="4"/>
        <w:ind w:firstLine="562"/>
        <w:rPr>
          <w:color w:val="000000" w:themeColor="text1"/>
          <w14:textFill>
            <w14:solidFill>
              <w14:schemeClr w14:val="tx1"/>
            </w14:solidFill>
          </w14:textFill>
        </w:rPr>
      </w:pPr>
      <w:bookmarkStart w:id="413" w:name="_Toc9631"/>
      <w:r>
        <w:rPr>
          <w:rFonts w:hint="eastAsia"/>
          <w:color w:val="000000" w:themeColor="text1"/>
          <w14:textFill>
            <w14:solidFill>
              <w14:schemeClr w14:val="tx1"/>
            </w14:solidFill>
          </w14:textFill>
        </w:rPr>
        <w:t>电气系统安全对策措施及建议</w:t>
      </w:r>
      <w:bookmarkEnd w:id="413"/>
    </w:p>
    <w:p w14:paraId="46168974">
      <w:pPr>
        <w:rPr>
          <w:color w:val="000000" w:themeColor="text1"/>
          <w14:textFill>
            <w14:solidFill>
              <w14:schemeClr w14:val="tx1"/>
            </w14:solidFill>
          </w14:textFill>
        </w:rPr>
      </w:pPr>
      <w:r>
        <w:rPr>
          <w:rFonts w:hint="eastAsia"/>
          <w:color w:val="000000" w:themeColor="text1"/>
          <w14:textFill>
            <w14:solidFill>
              <w14:schemeClr w14:val="tx1"/>
            </w14:solidFill>
          </w14:textFill>
        </w:rPr>
        <w:t>1.作业人员必须严格按规定检查项目的整个电气系统，在操作和检查过程中发现绝缘破损、紧固处松脱、短网接线发红等情况应立即停电检修。</w:t>
      </w:r>
    </w:p>
    <w:p w14:paraId="33900936">
      <w:pPr>
        <w:rPr>
          <w:color w:val="000000" w:themeColor="text1"/>
          <w14:textFill>
            <w14:solidFill>
              <w14:schemeClr w14:val="tx1"/>
            </w14:solidFill>
          </w14:textFill>
        </w:rPr>
      </w:pPr>
      <w:r>
        <w:rPr>
          <w:rFonts w:hint="eastAsia"/>
          <w:color w:val="000000" w:themeColor="text1"/>
          <w14:textFill>
            <w14:solidFill>
              <w14:schemeClr w14:val="tx1"/>
            </w14:solidFill>
          </w14:textFill>
        </w:rPr>
        <w:t>2.严禁用易导电物质接触、碰撞带电设备的任一部位。</w:t>
      </w:r>
    </w:p>
    <w:p w14:paraId="731D20AB">
      <w:pPr>
        <w:pStyle w:val="4"/>
        <w:ind w:firstLine="562"/>
        <w:rPr>
          <w:color w:val="000000" w:themeColor="text1"/>
          <w14:textFill>
            <w14:solidFill>
              <w14:schemeClr w14:val="tx1"/>
            </w14:solidFill>
          </w14:textFill>
        </w:rPr>
      </w:pPr>
      <w:bookmarkStart w:id="414" w:name="_Toc9483"/>
      <w:r>
        <w:rPr>
          <w:rFonts w:hint="eastAsia"/>
          <w:color w:val="000000" w:themeColor="text1"/>
          <w14:textFill>
            <w14:solidFill>
              <w14:schemeClr w14:val="tx1"/>
            </w14:solidFill>
          </w14:textFill>
        </w:rPr>
        <w:t>防雷、防静电安全对策措施及建议</w:t>
      </w:r>
      <w:bookmarkEnd w:id="414"/>
    </w:p>
    <w:p w14:paraId="53BB7FC9">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.加油站在经营过程中，应定期对防雷、防静电设施进行检测，并对检测出的不符合项进行认真整改。</w:t>
      </w:r>
    </w:p>
    <w:p w14:paraId="6C34A4D8">
      <w:pPr>
        <w:rPr>
          <w:color w:val="000000" w:themeColor="text1"/>
          <w14:textFill>
            <w14:solidFill>
              <w14:schemeClr w14:val="tx1"/>
            </w14:solidFill>
          </w14:textFill>
        </w:rPr>
      </w:pPr>
      <w:r>
        <w:rPr>
          <w:rFonts w:hint="eastAsia"/>
          <w:color w:val="000000" w:themeColor="text1"/>
          <w14:textFill>
            <w14:solidFill>
              <w14:schemeClr w14:val="tx1"/>
            </w14:solidFill>
          </w14:textFill>
        </w:rPr>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14:paraId="637C4734">
      <w:pPr>
        <w:rPr>
          <w:color w:val="000000" w:themeColor="text1"/>
          <w14:textFill>
            <w14:solidFill>
              <w14:schemeClr w14:val="tx1"/>
            </w14:solidFill>
          </w14:textFill>
        </w:rPr>
      </w:pPr>
      <w:r>
        <w:rPr>
          <w:rFonts w:hint="eastAsia"/>
          <w:color w:val="000000" w:themeColor="text1"/>
          <w14:textFill>
            <w14:solidFill>
              <w14:schemeClr w14:val="tx1"/>
            </w14:solidFill>
          </w14:textFill>
        </w:rPr>
        <w:t>3.严禁在装有避雷针、避雷线的构筑物上方架设通信线、广播线或低压线。</w:t>
      </w:r>
    </w:p>
    <w:p w14:paraId="31D321F1">
      <w:pPr>
        <w:rPr>
          <w:color w:val="000000" w:themeColor="text1"/>
          <w14:textFill>
            <w14:solidFill>
              <w14:schemeClr w14:val="tx1"/>
            </w14:solidFill>
          </w14:textFill>
        </w:rPr>
      </w:pPr>
      <w:r>
        <w:rPr>
          <w:rFonts w:hint="eastAsia"/>
          <w:color w:val="000000" w:themeColor="text1"/>
          <w14:textFill>
            <w14:solidFill>
              <w14:schemeClr w14:val="tx1"/>
            </w14:solidFill>
          </w14:textFill>
        </w:rPr>
        <w:t>4.在爆炸危险场所的工作人员禁止穿戴化纤、丝绸衣物和带铁掌的鞋，应穿戴防静电的工作鞋、手套、衣物。</w:t>
      </w:r>
    </w:p>
    <w:p w14:paraId="68FC72C7">
      <w:pPr>
        <w:pStyle w:val="4"/>
        <w:ind w:firstLine="562"/>
        <w:rPr>
          <w:color w:val="000000" w:themeColor="text1"/>
          <w14:textFill>
            <w14:solidFill>
              <w14:schemeClr w14:val="tx1"/>
            </w14:solidFill>
          </w14:textFill>
        </w:rPr>
      </w:pPr>
      <w:bookmarkStart w:id="415" w:name="_Toc30273"/>
      <w:r>
        <w:rPr>
          <w:rFonts w:hint="eastAsia"/>
          <w:color w:val="000000" w:themeColor="text1"/>
          <w14:textFill>
            <w14:solidFill>
              <w14:schemeClr w14:val="tx1"/>
            </w14:solidFill>
          </w14:textFill>
        </w:rPr>
        <w:t>特殊作业安全对策措施及建议</w:t>
      </w:r>
      <w:bookmarkEnd w:id="415"/>
    </w:p>
    <w:p w14:paraId="675B881A">
      <w:pPr>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特殊作业基本要求：</w:t>
      </w:r>
    </w:p>
    <w:p w14:paraId="4184AE18">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作业前，应组织作业单位对作业现场和作业过程中可能存在的危险有害因素进行</w:t>
      </w:r>
      <w:bookmarkStart w:id="416" w:name="bookmark7"/>
      <w:bookmarkEnd w:id="416"/>
      <w:r>
        <w:rPr>
          <w:color w:val="000000" w:themeColor="text1"/>
          <w14:textFill>
            <w14:solidFill>
              <w14:schemeClr w14:val="tx1"/>
            </w14:solidFill>
          </w14:textFill>
        </w:rPr>
        <w:t>辨识，开展作业危害分析，制定相应的安全风险管控措施。</w:t>
      </w:r>
    </w:p>
    <w:p w14:paraId="5C30AEC4">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作业前，应采取措施对拟作业的设备设施、管线进行处理，确保满足相应作业安全要求：</w:t>
      </w:r>
    </w:p>
    <w:p w14:paraId="0EAEF6B9">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对设备、管线内介质有安全要求的特殊作业，应采用倒空、隔绝、清洗、置换等方式进行处理</w:t>
      </w:r>
      <w:r>
        <w:rPr>
          <w:rFonts w:hint="eastAsia"/>
          <w:color w:val="000000" w:themeColor="text1"/>
          <w14:textFill>
            <w14:solidFill>
              <w14:schemeClr w14:val="tx1"/>
            </w14:solidFill>
          </w14:textFill>
        </w:rPr>
        <w:t>；</w:t>
      </w:r>
    </w:p>
    <w:p w14:paraId="67176178">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对具有能量的设备设施、环境应采取可靠的能量隔离措施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能量隔离是指将潜在的、可能因失控造成人身伤害、环境损害、设备损坏、财产损失的能量进行有效的控制、隔离和保护。包括机械隔离、工艺隔离、电气隔离等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14:paraId="3018567F">
      <w:pPr>
        <w:rPr>
          <w:color w:val="000000" w:themeColor="text1"/>
          <w14:textFill>
            <w14:solidFill>
              <w14:schemeClr w14:val="tx1"/>
            </w14:solidFill>
          </w14:textFill>
        </w:rPr>
      </w:pPr>
      <w:r>
        <w:rPr>
          <w:rFonts w:hint="eastAsia"/>
          <w:color w:val="000000" w:themeColor="text1"/>
          <w14:textFill>
            <w14:solidFill>
              <w14:schemeClr w14:val="tx1"/>
            </w14:solidFill>
          </w14:textFill>
        </w:rPr>
        <w:t>3.进入</w:t>
      </w:r>
      <w:r>
        <w:rPr>
          <w:color w:val="000000" w:themeColor="text1"/>
          <w14:textFill>
            <w14:solidFill>
              <w14:schemeClr w14:val="tx1"/>
            </w14:solidFill>
          </w14:textFill>
        </w:rPr>
        <w:t>作业现场的人员应正确佩戴满足GB</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39800.</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要求的个体防护装备。</w:t>
      </w:r>
    </w:p>
    <w:p w14:paraId="78023CC0">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作业前，危险化学品企业应对参加作业的人员进行安全措施交底，主要包括：</w:t>
      </w:r>
    </w:p>
    <w:p w14:paraId="1A18034A">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作业现场和作业过程中可能存在的危险、有害因素及采取的具体安全措施与应急措施</w:t>
      </w:r>
      <w:r>
        <w:rPr>
          <w:rFonts w:hint="eastAsia"/>
          <w:color w:val="000000" w:themeColor="text1"/>
          <w14:textFill>
            <w14:solidFill>
              <w14:schemeClr w14:val="tx1"/>
            </w14:solidFill>
          </w14:textFill>
        </w:rPr>
        <w:t>；</w:t>
      </w:r>
    </w:p>
    <w:p w14:paraId="4BE2491A">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会同作业单位组织作业人员到作业现场，了解和熟悉现场环境，进一步核实安全措施的可靠性，熟悉应急救援器材的位置及分布</w:t>
      </w:r>
      <w:r>
        <w:rPr>
          <w:rFonts w:hint="eastAsia"/>
          <w:color w:val="000000" w:themeColor="text1"/>
          <w14:textFill>
            <w14:solidFill>
              <w14:schemeClr w14:val="tx1"/>
            </w14:solidFill>
          </w14:textFill>
        </w:rPr>
        <w:t>；</w:t>
      </w:r>
    </w:p>
    <w:p w14:paraId="3068A4F7">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涉及断路、动土作业时，应对作业现场的地下隐蔽工程进行交底。</w:t>
      </w:r>
    </w:p>
    <w:p w14:paraId="70C0D760">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作业前，应组织作业单位对作业现场及作业涉及的设备、设施、工器具等进行检查，并使之符合如下要求：</w:t>
      </w:r>
    </w:p>
    <w:p w14:paraId="5E707FEE">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作业现场消防通道、行车通道应保持畅通，影响作业安全的杂物应清理干净</w:t>
      </w:r>
      <w:r>
        <w:rPr>
          <w:rFonts w:hint="eastAsia"/>
          <w:color w:val="000000" w:themeColor="text1"/>
          <w14:textFill>
            <w14:solidFill>
              <w14:schemeClr w14:val="tx1"/>
            </w14:solidFill>
          </w14:textFill>
        </w:rPr>
        <w:t>；</w:t>
      </w:r>
    </w:p>
    <w:p w14:paraId="0B33CA76">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作业现场的梯子、栏杆、平台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盖板等设施应完整、牢固，采用的临时设施应确保安全</w:t>
      </w:r>
      <w:r>
        <w:rPr>
          <w:rFonts w:hint="eastAsia"/>
          <w:color w:val="000000" w:themeColor="text1"/>
          <w14:textFill>
            <w14:solidFill>
              <w14:schemeClr w14:val="tx1"/>
            </w14:solidFill>
          </w14:textFill>
        </w:rPr>
        <w:t>；</w:t>
      </w:r>
    </w:p>
    <w:p w14:paraId="7BEFF47E">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作业现场可能危及安全的坑、井、沟、孔洞等应采取有效防护措施，并设警示标志</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需要检修的设备上的电器电源应可靠断电，在电源开关处加锁并加挂安全警示牌</w:t>
      </w:r>
      <w:r>
        <w:rPr>
          <w:rFonts w:hint="eastAsia"/>
          <w:color w:val="000000" w:themeColor="text1"/>
          <w14:textFill>
            <w14:solidFill>
              <w14:schemeClr w14:val="tx1"/>
            </w14:solidFill>
          </w14:textFill>
        </w:rPr>
        <w:t>；</w:t>
      </w:r>
    </w:p>
    <w:p w14:paraId="6A1B25A6">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作业使用的个体防护器具、消防器材、通信设备、照明设备等应完好</w:t>
      </w:r>
      <w:r>
        <w:rPr>
          <w:rFonts w:hint="eastAsia"/>
          <w:color w:val="000000" w:themeColor="text1"/>
          <w14:textFill>
            <w14:solidFill>
              <w14:schemeClr w14:val="tx1"/>
            </w14:solidFill>
          </w14:textFill>
        </w:rPr>
        <w:t>；</w:t>
      </w:r>
    </w:p>
    <w:p w14:paraId="2F74000E">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作业时使用的脚手架、起重机械、电气焊（割）用具、手持电动工具等各种工器具符合作业安全要求，超过安全电压的手持式、移动式电动工器具应逐个配置漏电保护器和电源开关</w:t>
      </w:r>
      <w:r>
        <w:rPr>
          <w:rFonts w:hint="eastAsia"/>
          <w:color w:val="000000" w:themeColor="text1"/>
          <w14:textFill>
            <w14:solidFill>
              <w14:schemeClr w14:val="tx1"/>
            </w14:solidFill>
          </w14:textFill>
        </w:rPr>
        <w:t>；</w:t>
      </w:r>
    </w:p>
    <w:p w14:paraId="68F68368">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设置符合GB2894的安全警示标志</w:t>
      </w:r>
      <w:r>
        <w:rPr>
          <w:rFonts w:hint="eastAsia"/>
          <w:color w:val="000000" w:themeColor="text1"/>
          <w14:textFill>
            <w14:solidFill>
              <w14:schemeClr w14:val="tx1"/>
            </w14:solidFill>
          </w14:textFill>
        </w:rPr>
        <w:t>；</w:t>
      </w:r>
    </w:p>
    <w:p w14:paraId="2BA170EC">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按照GB30077要求配备应急设施</w:t>
      </w:r>
      <w:r>
        <w:rPr>
          <w:rFonts w:hint="eastAsia"/>
          <w:color w:val="000000" w:themeColor="text1"/>
          <w14:textFill>
            <w14:solidFill>
              <w14:schemeClr w14:val="tx1"/>
            </w14:solidFill>
          </w14:textFill>
        </w:rPr>
        <w:t>。</w:t>
      </w:r>
    </w:p>
    <w:p w14:paraId="12657658">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14:paraId="1B164F27">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同一作业区域应减少、控制多工种、多层次交叉作业，最大限度避免交叉作业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交叉作业应由企业指定专人统一协调管理，作业前要组织开展交叉作业风险辨识，采取可靠的保护措施，并保持作业之间信息畅通，确保作业安全。</w:t>
      </w:r>
    </w:p>
    <w:p w14:paraId="66AD976C">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当生产装置或作业现场出现异常，可能危及作业人员安全时，作业人员应立即停止作业，迅速撤离，并及时通知相关单位及人员。</w:t>
      </w:r>
    </w:p>
    <w:p w14:paraId="05882920">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特殊作业涉及的特种作业和特种设备作业人员应取得相应资格证书，持证上岗。界定为GBZ/T 260中规定的职业禁忌证者不应参与相应作业。</w:t>
      </w:r>
    </w:p>
    <w:p w14:paraId="316DDED0">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作业期间应设监护人。监护人应由具有生产（作业）实践经验的人员担任，并经专项培训考试合格，佩戴明显标识，持培训合格证上岗。</w:t>
      </w:r>
    </w:p>
    <w:p w14:paraId="107C0042">
      <w:pPr>
        <w:rPr>
          <w:color w:val="000000" w:themeColor="text1"/>
          <w14:textFill>
            <w14:solidFill>
              <w14:schemeClr w14:val="tx1"/>
            </w14:solidFill>
          </w14:textFill>
        </w:rPr>
      </w:pPr>
      <w:r>
        <w:rPr>
          <w:color w:val="000000" w:themeColor="text1"/>
          <w14:textFill>
            <w14:solidFill>
              <w14:schemeClr w14:val="tx1"/>
            </w14:solidFill>
          </w14:textFill>
        </w:rPr>
        <w:t>监护人的通用职责要求：</w:t>
      </w:r>
    </w:p>
    <w:p w14:paraId="3BCBA9CE">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作业前检查安全作业票。安全作业票应与作业内容相符并在有效期内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核查安全作业票中各项安全措施已得到落实。</w:t>
      </w:r>
    </w:p>
    <w:p w14:paraId="2267F964">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确认相关作业人员持有效资格证书上岗。</w:t>
      </w:r>
    </w:p>
    <w:p w14:paraId="131942E0">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核查作业人员配备和使用的个体防护装备满足作业要求。</w:t>
      </w:r>
    </w:p>
    <w:p w14:paraId="4EF4376C">
      <w:pPr>
        <w:rPr>
          <w:color w:val="000000" w:themeColor="text1"/>
          <w14:textFill>
            <w14:solidFill>
              <w14:schemeClr w14:val="tx1"/>
            </w14:solidFill>
          </w14:textFill>
        </w:rPr>
      </w:pPr>
      <w:bookmarkStart w:id="417" w:name="bookmark8"/>
      <w:bookmarkEnd w:id="417"/>
      <w:r>
        <w:rPr>
          <w:rFonts w:hint="eastAsia"/>
          <w:color w:val="000000" w:themeColor="text1"/>
          <w14:textFill>
            <w14:solidFill>
              <w14:schemeClr w14:val="tx1"/>
            </w14:solidFill>
          </w14:textFill>
        </w:rPr>
        <w:t>（4）</w:t>
      </w:r>
      <w:r>
        <w:rPr>
          <w:color w:val="000000" w:themeColor="text1"/>
          <w14:textFill>
            <w14:solidFill>
              <w14:schemeClr w14:val="tx1"/>
            </w14:solidFill>
          </w14:textFill>
        </w:rPr>
        <w:t>对作业人员的行为和现场安全作业条件进行检查与监督，负责作业现场的安全协调与联系。</w:t>
      </w:r>
    </w:p>
    <w:p w14:paraId="2FAE57EF">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当作业现场出现异常情况时应中止作业，并采取安全有效措施进行应急处置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当作业人员违章时，应及时制止违章，情节严重时，应收回安全作业票、中止作业。</w:t>
      </w:r>
    </w:p>
    <w:p w14:paraId="2826B715">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作业期间，监护人不应擅自离开作业现场且不应从事与监护无关的事。确需离开作业现场时，应收回安全作业票，中止作业。</w:t>
      </w:r>
    </w:p>
    <w:p w14:paraId="182479D6">
      <w:pPr>
        <w:rPr>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color w:val="000000" w:themeColor="text1"/>
          <w14:textFill>
            <w14:solidFill>
              <w14:schemeClr w14:val="tx1"/>
            </w14:solidFill>
          </w14:textFill>
        </w:rPr>
        <w:t>作业审批人的职责要求：</w:t>
      </w:r>
    </w:p>
    <w:p w14:paraId="1EF8DD01">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应在作业现场完成审批工作</w:t>
      </w:r>
      <w:r>
        <w:rPr>
          <w:rFonts w:hint="eastAsia"/>
          <w:color w:val="000000" w:themeColor="text1"/>
          <w14:textFill>
            <w14:solidFill>
              <w14:schemeClr w14:val="tx1"/>
            </w14:solidFill>
          </w14:textFill>
        </w:rPr>
        <w:t>；</w:t>
      </w:r>
    </w:p>
    <w:p w14:paraId="190E5FC4">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应核查安全作业票审批级别与企业管理制度中规定级别一致情况，各项审批环节符合企业管理要求情况</w:t>
      </w:r>
      <w:r>
        <w:rPr>
          <w:rFonts w:hint="eastAsia"/>
          <w:color w:val="000000" w:themeColor="text1"/>
          <w14:textFill>
            <w14:solidFill>
              <w14:schemeClr w14:val="tx1"/>
            </w14:solidFill>
          </w14:textFill>
        </w:rPr>
        <w:t>；</w:t>
      </w:r>
    </w:p>
    <w:p w14:paraId="2D08960D">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应核查安全作业票中各项风险识别及管控措施落实情况。</w:t>
      </w:r>
    </w:p>
    <w:p w14:paraId="40646155">
      <w:pPr>
        <w:rPr>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color w:val="000000" w:themeColor="text1"/>
          <w14:textFill>
            <w14:solidFill>
              <w14:schemeClr w14:val="tx1"/>
            </w14:solidFill>
          </w14:textFill>
        </w:rPr>
        <w:t xml:space="preserve">作业时使用的移动式可燃、有毒气体检测仪，氧气检测仪应符合GB </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5322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3和GB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T50493中5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2的要求。</w:t>
      </w:r>
    </w:p>
    <w:p w14:paraId="5978AD02">
      <w:pPr>
        <w:rPr>
          <w:color w:val="000000" w:themeColor="text1"/>
          <w14:textFill>
            <w14:solidFill>
              <w14:schemeClr w14:val="tx1"/>
            </w14:solidFill>
          </w14:textFill>
        </w:rPr>
      </w:pPr>
      <w:r>
        <w:rPr>
          <w:rFonts w:hint="eastAsia"/>
          <w:color w:val="000000" w:themeColor="text1"/>
          <w14:textFill>
            <w14:solidFill>
              <w14:schemeClr w14:val="tx1"/>
            </w14:solidFill>
          </w14:textFill>
        </w:rPr>
        <w:t>13.</w:t>
      </w:r>
      <w:r>
        <w:rPr>
          <w:color w:val="000000" w:themeColor="text1"/>
          <w14:textFill>
            <w14:solidFill>
              <w14:schemeClr w14:val="tx1"/>
            </w14:solidFill>
          </w14:textFill>
        </w:rPr>
        <w:t>作业现场照明系统配置要求：</w:t>
      </w:r>
    </w:p>
    <w:p w14:paraId="6DE974DB">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作业现场应设置满足作业要求的照明装备</w:t>
      </w:r>
      <w:r>
        <w:rPr>
          <w:rFonts w:hint="eastAsia"/>
          <w:color w:val="000000" w:themeColor="text1"/>
          <w14:textFill>
            <w14:solidFill>
              <w14:schemeClr w14:val="tx1"/>
            </w14:solidFill>
          </w14:textFill>
        </w:rPr>
        <w:t>；</w:t>
      </w:r>
    </w:p>
    <w:p w14:paraId="1346DD9A">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受限空间内使用的照明电压不应超过36V，并满足安全用电要求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在潮湿容器、狭小容器内作业电压不应超过</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2V</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在盛装过易燃易爆气体、液体等介质的容器内作业应使用防爆灯具</w:t>
      </w:r>
      <w:r>
        <w:rPr>
          <w:rFonts w:hint="eastAsia"/>
          <w:color w:val="000000" w:themeColor="text1"/>
          <w14:textFill>
            <w14:solidFill>
              <w14:schemeClr w14:val="tx1"/>
            </w14:solidFill>
          </w14:textFill>
        </w:rPr>
        <w:t>；</w:t>
      </w:r>
    </w:p>
    <w:p w14:paraId="780D860B">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作业现场可能危及安全的坑、井、沟、孔洞等周围，夜间应设警示红灯</w:t>
      </w:r>
      <w:r>
        <w:rPr>
          <w:rFonts w:hint="eastAsia"/>
          <w:color w:val="000000" w:themeColor="text1"/>
          <w14:textFill>
            <w14:solidFill>
              <w14:schemeClr w14:val="tx1"/>
            </w14:solidFill>
          </w14:textFill>
        </w:rPr>
        <w:t>；</w:t>
      </w:r>
    </w:p>
    <w:p w14:paraId="170824E7">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动力和照明线路应分路设置。</w:t>
      </w:r>
    </w:p>
    <w:p w14:paraId="5A16E1A3">
      <w:pPr>
        <w:rPr>
          <w:color w:val="000000" w:themeColor="text1"/>
          <w14:textFill>
            <w14:solidFill>
              <w14:schemeClr w14:val="tx1"/>
            </w14:solidFill>
          </w14:textFill>
        </w:rPr>
      </w:pPr>
      <w:r>
        <w:rPr>
          <w:rFonts w:hint="eastAsia"/>
          <w:color w:val="000000" w:themeColor="text1"/>
          <w14:textFill>
            <w14:solidFill>
              <w14:schemeClr w14:val="tx1"/>
            </w14:solidFill>
          </w14:textFill>
        </w:rPr>
        <w:t>14.</w:t>
      </w:r>
      <w:r>
        <w:rPr>
          <w:color w:val="000000" w:themeColor="text1"/>
          <w14:textFill>
            <w14:solidFill>
              <w14:schemeClr w14:val="tx1"/>
            </w14:solidFill>
          </w14:textFill>
        </w:rPr>
        <w:t>作业完毕，应及时恢复作业时拆移的盖板、扶手、栏杆、防护罩等安全设施的使用功能，恢复临时封闭的沟渠或地井，并清理作业现场，恢复原状。</w:t>
      </w:r>
    </w:p>
    <w:p w14:paraId="0262D83A">
      <w:pPr>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作业完毕，应及时进行验收确认。</w:t>
      </w:r>
    </w:p>
    <w:p w14:paraId="16EA09F2">
      <w:pPr>
        <w:rPr>
          <w:color w:val="000000" w:themeColor="text1"/>
          <w14:textFill>
            <w14:solidFill>
              <w14:schemeClr w14:val="tx1"/>
            </w14:solidFill>
          </w14:textFill>
        </w:rPr>
      </w:pPr>
      <w:r>
        <w:rPr>
          <w:rFonts w:hint="eastAsia"/>
          <w:color w:val="000000" w:themeColor="text1"/>
          <w14:textFill>
            <w14:solidFill>
              <w14:schemeClr w14:val="tx1"/>
            </w14:solidFill>
          </w14:textFill>
        </w:rPr>
        <w:t>16.</w:t>
      </w:r>
      <w:r>
        <w:rPr>
          <w:color w:val="000000" w:themeColor="text1"/>
          <w14:textFill>
            <w14:solidFill>
              <w14:schemeClr w14:val="tx1"/>
            </w14:solidFill>
          </w14:textFill>
        </w:rPr>
        <w:t>作业内容变更、作业范围扩大、作业地点转移或超过安全作业票有效期限时，应重新办理安全作业票。</w:t>
      </w:r>
    </w:p>
    <w:p w14:paraId="4D9DDDA8">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工艺条件、作业条件、作业方式或作业环境改变时，应重新进行作业危害分析，核对风险管控措施，重新办理安全作业票。</w:t>
      </w:r>
    </w:p>
    <w:p w14:paraId="44967081">
      <w:pPr>
        <w:rPr>
          <w:color w:val="000000" w:themeColor="text1"/>
          <w14:textFill>
            <w14:solidFill>
              <w14:schemeClr w14:val="tx1"/>
            </w14:solidFill>
          </w14:textFill>
        </w:rPr>
      </w:pPr>
      <w:r>
        <w:rPr>
          <w:rFonts w:hint="eastAsia"/>
          <w:color w:val="000000" w:themeColor="text1"/>
          <w14:textFill>
            <w14:solidFill>
              <w14:schemeClr w14:val="tx1"/>
            </w14:solidFill>
          </w14:textFill>
        </w:rPr>
        <w:t>18.</w:t>
      </w:r>
      <w:r>
        <w:rPr>
          <w:color w:val="000000" w:themeColor="text1"/>
          <w14:textFill>
            <w14:solidFill>
              <w14:schemeClr w14:val="tx1"/>
            </w14:solidFill>
          </w14:textFill>
        </w:rPr>
        <w:t>安全作业票应规范填写，不得涂改。</w:t>
      </w:r>
    </w:p>
    <w:p w14:paraId="7172AF9F">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受限空间作业安全对策措施及建议</w:t>
      </w:r>
    </w:p>
    <w:p w14:paraId="53781C59">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作业前，应对受限空间进行安全隔离，要求如下：</w:t>
      </w:r>
    </w:p>
    <w:p w14:paraId="2440A8EE">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与受限空间连通的可能危及安全作业的管道应采用加盲板或拆除一段管道的方式进行隔离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不应采用水封或关闭阀门代替盲板作为隔断措施</w:t>
      </w:r>
      <w:r>
        <w:rPr>
          <w:rFonts w:hint="eastAsia"/>
          <w:color w:val="000000" w:themeColor="text1"/>
          <w14:textFill>
            <w14:solidFill>
              <w14:schemeClr w14:val="tx1"/>
            </w14:solidFill>
          </w14:textFill>
        </w:rPr>
        <w:t>；</w:t>
      </w:r>
    </w:p>
    <w:p w14:paraId="6FC938D5">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与受限空间连通的可能危及安全作业的孔、洞应进行严密封堵</w:t>
      </w:r>
      <w:r>
        <w:rPr>
          <w:rFonts w:hint="eastAsia"/>
          <w:color w:val="000000" w:themeColor="text1"/>
          <w14:textFill>
            <w14:solidFill>
              <w14:schemeClr w14:val="tx1"/>
            </w14:solidFill>
          </w14:textFill>
        </w:rPr>
        <w:t>；</w:t>
      </w:r>
    </w:p>
    <w:p w14:paraId="007EDE7F">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对作业设备上的电器电源，应采取可靠的断电措施，电源开关处应上锁并加挂警示牌。</w:t>
      </w:r>
    </w:p>
    <w:p w14:paraId="7B0BBB25">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作业前，应保持受限空间内空气流通良好，可采取如下措施：</w:t>
      </w:r>
    </w:p>
    <w:p w14:paraId="7CE0069C">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打开人孔等与大气相通的设施进行自然通风</w:t>
      </w:r>
      <w:r>
        <w:rPr>
          <w:rFonts w:hint="eastAsia"/>
          <w:color w:val="000000" w:themeColor="text1"/>
          <w14:textFill>
            <w14:solidFill>
              <w14:schemeClr w14:val="tx1"/>
            </w14:solidFill>
          </w14:textFill>
        </w:rPr>
        <w:t>；</w:t>
      </w:r>
    </w:p>
    <w:p w14:paraId="786CA4AF">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必要时，可采用强制通风或管道送风，管道送风前应对管道内介质和风源进行分析确认</w:t>
      </w:r>
      <w:r>
        <w:rPr>
          <w:rFonts w:hint="eastAsia"/>
          <w:color w:val="000000" w:themeColor="text1"/>
          <w14:textFill>
            <w14:solidFill>
              <w14:schemeClr w14:val="tx1"/>
            </w14:solidFill>
          </w14:textFill>
        </w:rPr>
        <w:t>；</w:t>
      </w:r>
    </w:p>
    <w:p w14:paraId="77C1BED5">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在忌氧环境中作业，通风前应对作业环境中与氧性质相抵的物料采取卸放、置换或清洗合格的措施，达到可以通风的安全条件要求。</w:t>
      </w:r>
    </w:p>
    <w:p w14:paraId="4CCE4622">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作业前，应确保受限空间内的气体环境满足作业要求，内容如下：</w:t>
      </w:r>
    </w:p>
    <w:p w14:paraId="6FE5201C">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作业前30min内，对受限空间进行气体检测，检测分析合格后方可进</w:t>
      </w:r>
      <w:r>
        <w:rPr>
          <w:rFonts w:hint="eastAsia"/>
          <w:color w:val="000000" w:themeColor="text1"/>
          <w14:textFill>
            <w14:solidFill>
              <w14:schemeClr w14:val="tx1"/>
            </w14:solidFill>
          </w14:textFill>
        </w:rPr>
        <w:t>入；</w:t>
      </w:r>
    </w:p>
    <w:p w14:paraId="561D608D">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检测点应有代表性，容积较大的受限空间，应对上、中、下（左、中、右）各部位进行检测分析</w:t>
      </w:r>
      <w:r>
        <w:rPr>
          <w:rFonts w:hint="eastAsia"/>
          <w:color w:val="000000" w:themeColor="text1"/>
          <w14:textFill>
            <w14:solidFill>
              <w14:schemeClr w14:val="tx1"/>
            </w14:solidFill>
          </w14:textFill>
        </w:rPr>
        <w:t>；</w:t>
      </w:r>
    </w:p>
    <w:p w14:paraId="7DAD95E0">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检测人员进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受限空间检测时，应佩戴</w:t>
      </w:r>
      <w:r>
        <w:rPr>
          <w:rFonts w:hint="eastAsia"/>
          <w:color w:val="000000" w:themeColor="text1"/>
          <w14:textFill>
            <w14:solidFill>
              <w14:schemeClr w14:val="tx1"/>
            </w14:solidFill>
          </w14:textFill>
        </w:rPr>
        <w:t>符合</w:t>
      </w:r>
      <w:r>
        <w:rPr>
          <w:color w:val="000000" w:themeColor="text1"/>
          <w14:textFill>
            <w14:solidFill>
              <w14:schemeClr w14:val="tx1"/>
            </w14:solidFill>
          </w14:textFill>
        </w:rPr>
        <w:t>规定的个体防护装备</w:t>
      </w:r>
      <w:r>
        <w:rPr>
          <w:rFonts w:hint="eastAsia"/>
          <w:color w:val="000000" w:themeColor="text1"/>
          <w14:textFill>
            <w14:solidFill>
              <w14:schemeClr w14:val="tx1"/>
            </w14:solidFill>
          </w14:textFill>
        </w:rPr>
        <w:t>；</w:t>
      </w:r>
    </w:p>
    <w:p w14:paraId="61546D1A">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涂刷具有挥发性溶剂的涂料时，应采取强制通风措施</w:t>
      </w:r>
      <w:r>
        <w:rPr>
          <w:rFonts w:hint="eastAsia"/>
          <w:color w:val="000000" w:themeColor="text1"/>
          <w14:textFill>
            <w14:solidFill>
              <w14:schemeClr w14:val="tx1"/>
            </w14:solidFill>
          </w14:textFill>
        </w:rPr>
        <w:t>；</w:t>
      </w:r>
    </w:p>
    <w:p w14:paraId="26CA5ADA">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不应向受限空间充纯氧气或富氧空气</w:t>
      </w:r>
      <w:r>
        <w:rPr>
          <w:rFonts w:hint="eastAsia"/>
          <w:color w:val="000000" w:themeColor="text1"/>
          <w14:textFill>
            <w14:solidFill>
              <w14:schemeClr w14:val="tx1"/>
            </w14:solidFill>
          </w14:textFill>
        </w:rPr>
        <w:t>；</w:t>
      </w:r>
    </w:p>
    <w:p w14:paraId="035C4D30">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作业中断时间超过60min时，应重新进行气体检测分析。</w:t>
      </w:r>
    </w:p>
    <w:p w14:paraId="2C4FCFE8">
      <w:pPr>
        <w:rPr>
          <w:color w:val="000000" w:themeColor="text1"/>
          <w14:textFill>
            <w14:solidFill>
              <w14:schemeClr w14:val="tx1"/>
            </w14:solidFill>
          </w14:textFill>
        </w:rPr>
      </w:pPr>
      <w:bookmarkStart w:id="418" w:name="bookmark10"/>
      <w:bookmarkEnd w:id="418"/>
      <w:r>
        <w:rPr>
          <w:rFonts w:hint="eastAsia"/>
          <w:color w:val="000000" w:themeColor="text1"/>
          <w14:textFill>
            <w14:solidFill>
              <w14:schemeClr w14:val="tx1"/>
            </w14:solidFill>
          </w14:textFill>
        </w:rPr>
        <w:t>（4）</w:t>
      </w:r>
      <w:r>
        <w:rPr>
          <w:color w:val="000000" w:themeColor="text1"/>
          <w14:textFill>
            <w14:solidFill>
              <w14:schemeClr w14:val="tx1"/>
            </w14:solidFill>
          </w14:textFill>
        </w:rPr>
        <w:t>受限空间内气体检测内容及要求如下：</w:t>
      </w:r>
    </w:p>
    <w:p w14:paraId="62C1C5FF">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氧气含量为</w:t>
      </w:r>
      <w:r>
        <w:rPr>
          <w:rFonts w:hint="eastAsia"/>
          <w:color w:val="000000" w:themeColor="text1"/>
          <w14:textFill>
            <w14:solidFill>
              <w14:schemeClr w14:val="tx1"/>
            </w14:solidFill>
          </w14:textFill>
        </w:rPr>
        <w:t>19.5</w:t>
      </w:r>
      <w:r>
        <w:rPr>
          <w:color w:val="000000" w:themeColor="text1"/>
          <w14:textFill>
            <w14:solidFill>
              <w14:schemeClr w14:val="tx1"/>
            </w14:solidFill>
          </w14:textFill>
        </w:rPr>
        <w:t>%～2l%（体积分数），在富氧环境下不应大于23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5%（体积分数）</w:t>
      </w:r>
      <w:r>
        <w:rPr>
          <w:rFonts w:hint="eastAsia"/>
          <w:color w:val="000000" w:themeColor="text1"/>
          <w14:textFill>
            <w14:solidFill>
              <w14:schemeClr w14:val="tx1"/>
            </w14:solidFill>
          </w14:textFill>
        </w:rPr>
        <w:t>；</w:t>
      </w:r>
    </w:p>
    <w:p w14:paraId="2F1421EB">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有毒物质允许浓度应符合GBZ 2.1的规定</w:t>
      </w:r>
      <w:r>
        <w:rPr>
          <w:rFonts w:hint="eastAsia"/>
          <w:color w:val="000000" w:themeColor="text1"/>
          <w14:textFill>
            <w14:solidFill>
              <w14:schemeClr w14:val="tx1"/>
            </w14:solidFill>
          </w14:textFill>
        </w:rPr>
        <w:t>；</w:t>
      </w:r>
    </w:p>
    <w:p w14:paraId="434CC350">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可燃气体、蒸气浓度要求应符合规定。</w:t>
      </w:r>
    </w:p>
    <w:p w14:paraId="2A04F4A2">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作业时，作业现场应配置移动式气体检测报警仪，连续检测受限空间内可燃气体、有毒气体及氧气浓度，并2h记录</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气体浓度超限报警时，应立即停止作业、撤离人员、对现场进行处理，重新检测合格后方可恢复作业。</w:t>
      </w:r>
    </w:p>
    <w:p w14:paraId="7357853A">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受限空间作业人员应正确穿戴相应的个体防护装备。进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下列受限空间作业应采取如下防护措施：</w:t>
      </w:r>
    </w:p>
    <w:p w14:paraId="6C5389FF">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缺氧或有毒的受限空间经清洗或置换仍达不到要求的，应佩戴满足GB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w:t>
      </w:r>
      <w:r>
        <w:rPr>
          <w:rFonts w:hint="eastAsia"/>
          <w:color w:val="000000" w:themeColor="text1"/>
          <w14:textFill>
            <w14:solidFill>
              <w14:schemeClr w14:val="tx1"/>
            </w14:solidFill>
          </w14:textFill>
        </w:rPr>
        <w:t xml:space="preserve"> 1</w:t>
      </w:r>
      <w:r>
        <w:rPr>
          <w:color w:val="000000" w:themeColor="text1"/>
          <w14:textFill>
            <w14:solidFill>
              <w14:schemeClr w14:val="tx1"/>
            </w14:solidFill>
          </w14:textFill>
        </w:rPr>
        <w:t>8664要求的隔绝式呼吸防护装备，并正确拴带救生绳</w:t>
      </w:r>
      <w:r>
        <w:rPr>
          <w:rFonts w:hint="eastAsia"/>
          <w:color w:val="000000" w:themeColor="text1"/>
          <w14:textFill>
            <w14:solidFill>
              <w14:schemeClr w14:val="tx1"/>
            </w14:solidFill>
          </w14:textFill>
        </w:rPr>
        <w:t>；</w:t>
      </w:r>
    </w:p>
    <w:p w14:paraId="431D7415">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易燃易爆的受限空间经清洗或置换仍达不到要求的，应穿防静电工作服及工作鞋，使用防爆工器具</w:t>
      </w:r>
      <w:r>
        <w:rPr>
          <w:rFonts w:hint="eastAsia"/>
          <w:color w:val="000000" w:themeColor="text1"/>
          <w14:textFill>
            <w14:solidFill>
              <w14:schemeClr w14:val="tx1"/>
            </w14:solidFill>
          </w14:textFill>
        </w:rPr>
        <w:t>；</w:t>
      </w:r>
    </w:p>
    <w:p w14:paraId="2B59C890">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2336" behindDoc="1" locked="0" layoutInCell="1" allowOverlap="1">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4" o:spid="_x0000_s1026" o:spt="1" style="position:absolute;left:0pt;margin-left:51.45pt;margin-top:1.35pt;height:15pt;width:15pt;z-index:-251654144;mso-width-relative:page;mso-height-relative:page;" fillcolor="#3CA4DD" filled="t" stroked="f" coordsize="21600,21600" o:gfxdata="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ueLstUAAAAIAQAADwAAAAAAAAABACAAAAAiAAAAZHJzL2Rvd25y&#10;ZXYueG1sUEsBAhQAFAAAAAgAh07iQOCcXBM6AgAAjAQAAA4AAAAAAAAAAQAgAAAAJAEAAGRycy9l&#10;Mm9Eb2MueG1sUEsFBgAAAAAGAAYAWQEAANAFAAAAAA==&#10;">
                <v:fill on="t" opacity="4882f" focussize="0,0"/>
                <v:stroke on="f" weight="0pt"/>
                <v:imagedata o:title=""/>
                <o:lock v:ext="edit" aspectratio="f"/>
                <v:textbox inset="0mm,0mm,0mm,0mm"/>
              </v:rect>
            </w:pict>
          </mc:Fallback>
        </mc:AlternateConten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在受限空间内从事电焊作业时，应穿绝缘鞋</w:t>
      </w:r>
      <w:r>
        <w:rPr>
          <w:rFonts w:hint="eastAsia"/>
          <w:color w:val="000000" w:themeColor="text1"/>
          <w14:textFill>
            <w14:solidFill>
              <w14:schemeClr w14:val="tx1"/>
            </w14:solidFill>
          </w14:textFill>
        </w:rPr>
        <w:t>；</w:t>
      </w:r>
    </w:p>
    <w:p w14:paraId="6B297254">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有噪声产生的受限空间，应佩戴耳塞或耳罩等防噪声护具</w:t>
      </w:r>
      <w:r>
        <w:rPr>
          <w:rFonts w:hint="eastAsia"/>
          <w:color w:val="000000" w:themeColor="text1"/>
          <w14:textFill>
            <w14:solidFill>
              <w14:schemeClr w14:val="tx1"/>
            </w14:solidFill>
          </w14:textFill>
        </w:rPr>
        <w:t>；</w:t>
      </w:r>
    </w:p>
    <w:p w14:paraId="53B16109">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）低温的受限空间，应穿戴低温防护用品，必要时采取供暖措施</w:t>
      </w:r>
      <w:r>
        <w:rPr>
          <w:rFonts w:hint="eastAsia"/>
          <w:color w:val="000000" w:themeColor="text1"/>
          <w14:textFill>
            <w14:solidFill>
              <w14:schemeClr w14:val="tx1"/>
            </w14:solidFill>
          </w14:textFill>
        </w:rPr>
        <w:t>；</w:t>
      </w:r>
    </w:p>
    <w:p w14:paraId="20FE6E10">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在受限空间内从事清污作业，应佩戴隔绝式呼吸防护装备，并正确拴带救生绳</w:t>
      </w:r>
      <w:r>
        <w:rPr>
          <w:rFonts w:hint="eastAsia"/>
          <w:color w:val="000000" w:themeColor="text1"/>
          <w14:textFill>
            <w14:solidFill>
              <w14:schemeClr w14:val="tx1"/>
            </w14:solidFill>
          </w14:textFill>
        </w:rPr>
        <w:t>；</w:t>
      </w:r>
    </w:p>
    <w:p w14:paraId="28DBD8D6">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在受限空间内作业时，应配备相应的通信工具。</w:t>
      </w:r>
    </w:p>
    <w:p w14:paraId="45D6EEE4">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当一处受限空间存在动火作业时，该处受限空间内不应安排涂刷油漆、涂料等其他可能产生有毒有害、可燃物质的作业活动。</w:t>
      </w:r>
    </w:p>
    <w:p w14:paraId="1746CEE2">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对监护人的特殊要求：</w:t>
      </w:r>
    </w:p>
    <w:p w14:paraId="65BEFE16">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监护人应在受限空间外进行全程监护，不应在无任何防护措施的情况下</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或进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p>
    <w:p w14:paraId="35EE4B8C">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在风险较大的受限空间作业时，应增设监护人员，并随时与受限空间内作业人员保持联络</w:t>
      </w:r>
      <w:r>
        <w:rPr>
          <w:rFonts w:hint="eastAsia"/>
          <w:color w:val="000000" w:themeColor="text1"/>
          <w14:textFill>
            <w14:solidFill>
              <w14:schemeClr w14:val="tx1"/>
            </w14:solidFill>
          </w14:textFill>
        </w:rPr>
        <w:t>；</w:t>
      </w:r>
    </w:p>
    <w:p w14:paraId="0C5008B9">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监护人应对进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受限空间的人员及其携带的工器具种类、数量进行登记，作业完毕后再次进行清点，防止遗漏在受限空间内。</w:t>
      </w:r>
    </w:p>
    <w:p w14:paraId="7AF1183F">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受限空间作业应满足的其他要求：</w:t>
      </w:r>
    </w:p>
    <w:p w14:paraId="7E5A53B8">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出入口</w:t>
      </w:r>
      <w:r>
        <w:rPr>
          <w:color w:val="000000" w:themeColor="text1"/>
          <w14:textFill>
            <w14:solidFill>
              <w14:schemeClr w14:val="tx1"/>
            </w14:solidFill>
          </w14:textFill>
        </w:rPr>
        <w:t>应保持畅通</w:t>
      </w:r>
      <w:r>
        <w:rPr>
          <w:rFonts w:hint="eastAsia"/>
          <w:color w:val="000000" w:themeColor="text1"/>
          <w14:textFill>
            <w14:solidFill>
              <w14:schemeClr w14:val="tx1"/>
            </w14:solidFill>
          </w14:textFill>
        </w:rPr>
        <w:t>；</w:t>
      </w:r>
    </w:p>
    <w:p w14:paraId="01FACE7A">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作业人员不应携带与作业无关的物品进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作业中不应抛掷材料、工器具等物品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在有毒、缺氧环境下不应摘下防护面具</w:t>
      </w:r>
      <w:r>
        <w:rPr>
          <w:rFonts w:hint="eastAsia"/>
          <w:color w:val="000000" w:themeColor="text1"/>
          <w14:textFill>
            <w14:solidFill>
              <w14:schemeClr w14:val="tx1"/>
            </w14:solidFill>
          </w14:textFill>
        </w:rPr>
        <w:t>；</w:t>
      </w:r>
    </w:p>
    <w:p w14:paraId="545801B2">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难度大、劳动强度大、时间长的受限空间作业应采取轮换作业方式</w:t>
      </w:r>
      <w:r>
        <w:rPr>
          <w:rFonts w:hint="eastAsia"/>
          <w:color w:val="000000" w:themeColor="text1"/>
          <w14:textFill>
            <w14:solidFill>
              <w14:schemeClr w14:val="tx1"/>
            </w14:solidFill>
          </w14:textFill>
        </w:rPr>
        <w:t>；</w:t>
      </w:r>
    </w:p>
    <w:p w14:paraId="0F37588F">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受限空间的电线、电缆、通气管应在进口处进行保护或加强绝缘，应避免与人员出</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使用同一</w:t>
      </w:r>
      <w:r>
        <w:rPr>
          <w:rFonts w:hint="eastAsia"/>
          <w:color w:val="000000" w:themeColor="text1"/>
          <w14:textFill>
            <w14:solidFill>
              <w14:schemeClr w14:val="tx1"/>
            </w14:solidFill>
          </w14:textFill>
        </w:rPr>
        <w:t>出入口；</w:t>
      </w:r>
    </w:p>
    <w:p w14:paraId="0E7C333A">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作业期间发生异常情况时，未穿戴</w:t>
      </w:r>
      <w:r>
        <w:rPr>
          <w:rFonts w:hint="eastAsia"/>
          <w:color w:val="000000" w:themeColor="text1"/>
          <w14:textFill>
            <w14:solidFill>
              <w14:schemeClr w14:val="tx1"/>
            </w14:solidFill>
          </w14:textFill>
        </w:rPr>
        <w:t>规范</w:t>
      </w:r>
      <w:r>
        <w:rPr>
          <w:color w:val="000000" w:themeColor="text1"/>
          <w14:textFill>
            <w14:solidFill>
              <w14:schemeClr w14:val="tx1"/>
            </w14:solidFill>
          </w14:textFill>
        </w:rPr>
        <w:t>规定个体防护装备的人员严禁</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内救援</w:t>
      </w:r>
      <w:r>
        <w:rPr>
          <w:rFonts w:hint="eastAsia"/>
          <w:color w:val="000000" w:themeColor="text1"/>
          <w14:textFill>
            <w14:solidFill>
              <w14:schemeClr w14:val="tx1"/>
            </w14:solidFill>
          </w14:textFill>
        </w:rPr>
        <w:t>；</w:t>
      </w:r>
    </w:p>
    <w:p w14:paraId="0C921439">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停止作业期间，应在受限空间</w:t>
      </w:r>
      <w:r>
        <w:rPr>
          <w:rFonts w:hint="eastAsia"/>
          <w:color w:val="000000" w:themeColor="text1"/>
          <w14:textFill>
            <w14:solidFill>
              <w14:schemeClr w14:val="tx1"/>
            </w14:solidFill>
          </w14:textFill>
        </w:rPr>
        <w:t>入口</w:t>
      </w:r>
      <w:r>
        <w:rPr>
          <w:color w:val="000000" w:themeColor="text1"/>
          <w14:textFill>
            <w14:solidFill>
              <w14:schemeClr w14:val="tx1"/>
            </w14:solidFill>
          </w14:textFill>
        </w:rPr>
        <w:t>处增设警示标志，并采取防止人员误人的措施</w:t>
      </w:r>
      <w:r>
        <w:rPr>
          <w:rFonts w:hint="eastAsia"/>
          <w:color w:val="000000" w:themeColor="text1"/>
          <w14:textFill>
            <w14:solidFill>
              <w14:schemeClr w14:val="tx1"/>
            </w14:solidFill>
          </w14:textFill>
        </w:rPr>
        <w:t>；</w:t>
      </w:r>
    </w:p>
    <w:p w14:paraId="5297C05F">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作业结束后，应将工器具带出受限空间。</w:t>
      </w:r>
    </w:p>
    <w:p w14:paraId="76FE6C74">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受限空间安全作业票有效期不应超过24h。</w:t>
      </w:r>
    </w:p>
    <w:p w14:paraId="49CC68DF">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高处作业安全对策措施及建议</w:t>
      </w:r>
    </w:p>
    <w:p w14:paraId="33B1BBB5">
      <w:pPr>
        <w:rPr>
          <w:color w:val="000000" w:themeColor="text1"/>
          <w14:textFill>
            <w14:solidFill>
              <w14:schemeClr w14:val="tx1"/>
            </w14:solidFill>
          </w14:textFill>
        </w:rPr>
      </w:pPr>
      <w:r>
        <w:rPr>
          <w:rFonts w:hint="eastAsia"/>
          <w:color w:val="000000" w:themeColor="text1"/>
          <w14:textFill>
            <w14:solidFill>
              <w14:schemeClr w14:val="tx1"/>
            </w14:solidFill>
          </w14:textFill>
        </w:rPr>
        <w:t>1.高处作业人员应正确佩戴符合GB6095要求的安全带及符合GB24543要求的安全绳，30m以上高处作业应配备通信联络工具。</w:t>
      </w:r>
    </w:p>
    <w:p w14:paraId="20AEF3C2">
      <w:pPr>
        <w:rPr>
          <w:color w:val="000000" w:themeColor="text1"/>
          <w14:textFill>
            <w14:solidFill>
              <w14:schemeClr w14:val="tx1"/>
            </w14:solidFill>
          </w14:textFill>
        </w:rPr>
      </w:pPr>
      <w:r>
        <w:rPr>
          <w:rFonts w:hint="eastAsia"/>
          <w:color w:val="000000" w:themeColor="text1"/>
          <w14:textFill>
            <w14:solidFill>
              <w14:schemeClr w14:val="tx1"/>
            </w14:solidFill>
          </w14:textFill>
        </w:rPr>
        <w:t>2.高处作业应设专人监护，作业人员不应在作业处休息。</w:t>
      </w:r>
    </w:p>
    <w:p w14:paraId="271E477E">
      <w:pPr>
        <w:rPr>
          <w:color w:val="000000" w:themeColor="text1"/>
          <w14:textFill>
            <w14:solidFill>
              <w14:schemeClr w14:val="tx1"/>
            </w14:solidFill>
          </w14:textFill>
        </w:rPr>
      </w:pPr>
      <w:r>
        <w:rPr>
          <w:rFonts w:hint="eastAsia"/>
          <w:color w:val="000000" w:themeColor="text1"/>
          <w14:textFill>
            <w14:solidFill>
              <w14:schemeClr w14:val="tx1"/>
            </w14:solidFill>
          </w14:textFill>
        </w:rPr>
        <w:t>3.应根据实际需要配备符合安全要求的作业平台，吊笼、梯子，挡脚板、跳板等；脚手架的搭设、拆除和使用应符合GB 51210等有关标准要求。</w:t>
      </w:r>
    </w:p>
    <w:p w14:paraId="7F308D0C">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14:paraId="358EB055">
      <w:pPr>
        <w:rPr>
          <w:color w:val="000000" w:themeColor="text1"/>
          <w14:textFill>
            <w14:solidFill>
              <w14:schemeClr w14:val="tx1"/>
            </w14:solidFill>
          </w14:textFill>
        </w:rPr>
      </w:pPr>
      <w:r>
        <w:rPr>
          <w:rFonts w:hint="eastAsia"/>
          <w:color w:val="000000" w:themeColor="text1"/>
          <w14:textFill>
            <w14:solidFill>
              <w14:schemeClr w14:val="tx1"/>
            </w14:solidFill>
          </w14:textFill>
        </w:rPr>
        <w:t>5.在邻近排放有毒、有害气体的放空管线等场所进行作业时，应采取有效的安全防护措施，作业人员应配备必要的符合国家相关标准的防护装备（如隔绝式呼吸防护装备、过滤式防毒面具或口罩等）。</w:t>
      </w:r>
    </w:p>
    <w:p w14:paraId="187C80D4">
      <w:pPr>
        <w:rPr>
          <w:color w:val="000000" w:themeColor="text1"/>
          <w14:textFill>
            <w14:solidFill>
              <w14:schemeClr w14:val="tx1"/>
            </w14:solidFill>
          </w14:textFill>
        </w:rPr>
      </w:pPr>
      <w:r>
        <w:rPr>
          <w:rFonts w:hint="eastAsia"/>
          <w:color w:val="000000" w:themeColor="text1"/>
          <w14:textFill>
            <w14:solidFill>
              <w14:schemeClr w14:val="tx1"/>
            </w14:solidFill>
          </w14:textFill>
        </w:rPr>
        <w:t>6.雨天和雪天作业时，应采取可靠的防滑、防寒措施；遇有五级风以上（含五级风），浓雾等恶劣天气，不应进行高处作业、露天攀登与悬空高处作业；暴风雪、台风，暴雨后，应对作业安全设施进行检查，发现问题立即处理。</w:t>
      </w:r>
    </w:p>
    <w:p w14:paraId="7DD75FED">
      <w:pPr>
        <w:rPr>
          <w:color w:val="000000" w:themeColor="text1"/>
          <w14:textFill>
            <w14:solidFill>
              <w14:schemeClr w14:val="tx1"/>
            </w14:solidFill>
          </w14:textFill>
        </w:rPr>
      </w:pPr>
      <w:r>
        <w:rPr>
          <w:rFonts w:hint="eastAsia"/>
          <w:color w:val="000000" w:themeColor="text1"/>
          <w14:textFill>
            <w14:solidFill>
              <w14:schemeClr w14:val="tx1"/>
            </w14:solidFill>
          </w14:textFill>
        </w:rPr>
        <w:t>7.作业使用的工具、材料、零件等应装入工具袋，上下时手中不应持物，不应投掷工具、材料及其他物品；易滑动，易滚动的工具、材料堆放在脚手架上时，应采取防坠落措施。</w:t>
      </w:r>
    </w:p>
    <w:p w14:paraId="48525273">
      <w:pPr>
        <w:rPr>
          <w:color w:val="000000" w:themeColor="text1"/>
          <w14:textFill>
            <w14:solidFill>
              <w14:schemeClr w14:val="tx1"/>
            </w14:solidFill>
          </w14:textFill>
        </w:rPr>
      </w:pPr>
      <w:r>
        <w:rPr>
          <w:rFonts w:hint="eastAsia"/>
          <w:color w:val="000000" w:themeColor="text1"/>
          <w14:textFill>
            <w14:solidFill>
              <w14:schemeClr w14:val="tx1"/>
            </w14:solidFill>
          </w14:textFill>
        </w:rPr>
        <w:t>8.在同一坠落方向上，一般不应进行上下交叉作业，如需进行交叉作业，中间应设置安全防护层。</w:t>
      </w:r>
    </w:p>
    <w:p w14:paraId="28141077">
      <w:pPr>
        <w:rPr>
          <w:color w:val="000000" w:themeColor="text1"/>
          <w14:textFill>
            <w14:solidFill>
              <w14:schemeClr w14:val="tx1"/>
            </w14:solidFill>
          </w14:textFill>
        </w:rPr>
      </w:pPr>
      <w:r>
        <w:rPr>
          <w:rFonts w:hint="eastAsia"/>
          <w:color w:val="000000" w:themeColor="text1"/>
          <w14:textFill>
            <w14:solidFill>
              <w14:schemeClr w14:val="tx1"/>
            </w14:solidFill>
          </w14:textFill>
        </w:rPr>
        <w:t>9.因作业需要，须临时拆除或变动作业对象的安全防护设施时，应经作业审批人员同意，并采取相应的防护措施，作业后应及时恢复。</w:t>
      </w:r>
    </w:p>
    <w:p w14:paraId="3D2F18C0">
      <w:pPr>
        <w:rPr>
          <w:color w:val="000000" w:themeColor="text1"/>
          <w14:textFill>
            <w14:solidFill>
              <w14:schemeClr w14:val="tx1"/>
            </w14:solidFill>
          </w14:textFill>
        </w:rPr>
      </w:pPr>
      <w:r>
        <w:rPr>
          <w:rFonts w:hint="eastAsia"/>
          <w:color w:val="000000" w:themeColor="text1"/>
          <w14:textFill>
            <w14:solidFill>
              <w14:schemeClr w14:val="tx1"/>
            </w14:solidFill>
          </w14:textFill>
        </w:rPr>
        <w:t>10.拆除脚手架﹑防护棚时，应设警戒区并派专人监护，不应上下同时施工。</w:t>
      </w:r>
    </w:p>
    <w:p w14:paraId="043CDE35">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临时用电安全对策措施及建议</w:t>
      </w:r>
    </w:p>
    <w:p w14:paraId="7513A28F">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在运行的火灾爆炸危险性生产装置、罐区和具有火灾爆炸危险场所内不应接临时电源，确需时应对周围环境进行可燃气体检测分析，分析结果应符合GB30871的规定。</w:t>
      </w:r>
    </w:p>
    <w:p w14:paraId="16F77802">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各类移动电源及外部自备电源，不应</w:t>
      </w:r>
      <w:r>
        <w:rPr>
          <w:rFonts w:hint="eastAsia"/>
          <w:color w:val="000000" w:themeColor="text1"/>
          <w14:textFill>
            <w14:solidFill>
              <w14:schemeClr w14:val="tx1"/>
            </w14:solidFill>
          </w14:textFill>
        </w:rPr>
        <w:t>接入</w:t>
      </w:r>
      <w:r>
        <w:rPr>
          <w:color w:val="000000" w:themeColor="text1"/>
          <w14:textFill>
            <w14:solidFill>
              <w14:schemeClr w14:val="tx1"/>
            </w14:solidFill>
          </w14:textFill>
        </w:rPr>
        <w:t>电网。</w:t>
      </w:r>
    </w:p>
    <w:p w14:paraId="45B95CDF">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在开关上接引、拆除临时用电线路时，其上级开关应断电、加锁，并挂安全警示标牌，接、拆线路作业时，应有监护人在场。</w:t>
      </w:r>
    </w:p>
    <w:p w14:paraId="324AC85C">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临时用电应设置保护开关，使用前应检查电气装置和保护设施的可靠性。所有的临时用电均应设置接地保护。</w:t>
      </w:r>
    </w:p>
    <w:p w14:paraId="25EFABE9">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临时用电设备和线路应按供电电压等级和容量正确配置、使用，所用的电器元件应符合国家相关产品标准及作业现场环境要求，临时用电电源施工、安装应符合GB50194的有关要求，并有良好的接地。</w:t>
      </w:r>
    </w:p>
    <w:p w14:paraId="43C373DA">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临时用电还应满足如下要求：</w:t>
      </w:r>
    </w:p>
    <w:p w14:paraId="06ED6214">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火灾爆炸危险场所应使用相应防爆等级的电气元件，并采取相应的防爆安全措施；</w:t>
      </w:r>
    </w:p>
    <w:p w14:paraId="3C7E1162">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临时用电线路及设备应有良好的绝缘，所有的临时用电线路应采用耐压等级不低于500V的绝缘导线；</w:t>
      </w:r>
    </w:p>
    <w:p w14:paraId="699486DD">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临时用电线路经过火灾爆炸危险场所以及有高温、振动、腐蚀、积水及产生机械损伤等区域，不应有接头，并应采取相应的保护措施；</w:t>
      </w:r>
    </w:p>
    <w:p w14:paraId="0A66EA76">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临时用电架空线应采用绝缘铜芯线，并应架设在专用电杆或支架上，其最大弧垂与地面距离，在作业现场不低于2.5m，穿越机动车道不低于5m；</w:t>
      </w:r>
    </w:p>
    <w:p w14:paraId="26C2E099">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沿墙面或地面敷设电缆线路应符合下列规定：</w:t>
      </w:r>
    </w:p>
    <w:p w14:paraId="0DC5E8A0">
      <w:pPr>
        <w:rPr>
          <w:color w:val="000000" w:themeColor="text1"/>
          <w14:textFill>
            <w14:solidFill>
              <w14:schemeClr w14:val="tx1"/>
            </w14:solidFill>
          </w14:textFill>
        </w:rPr>
      </w:pPr>
      <w:r>
        <w:rPr>
          <w:color w:val="000000" w:themeColor="text1"/>
          <w14:textFill>
            <w14:solidFill>
              <w14:schemeClr w14:val="tx1"/>
            </w14:solidFill>
          </w14:textFill>
        </w:rPr>
        <w:t>—电缆线路敷设路径应有醒目的警告标志；</w:t>
      </w:r>
    </w:p>
    <w:p w14:paraId="3884F38E">
      <w:pPr>
        <w:rPr>
          <w:color w:val="000000" w:themeColor="text1"/>
          <w14:textFill>
            <w14:solidFill>
              <w14:schemeClr w14:val="tx1"/>
            </w14:solidFill>
          </w14:textFill>
        </w:rPr>
      </w:pPr>
      <w:r>
        <w:rPr>
          <w:color w:val="000000" w:themeColor="text1"/>
          <w14:textFill>
            <w14:solidFill>
              <w14:schemeClr w14:val="tx1"/>
            </w14:solidFill>
          </w14:textFill>
        </w:rPr>
        <w:t>—沿地面明敷的电缆线路应沿建筑物墙体根部敷设，穿越道路或其他易受机械损伤的区域，应采取防机械损伤的措施，周围环境应保持干燥；</w:t>
      </w:r>
    </w:p>
    <w:p w14:paraId="0402AA9E">
      <w:pPr>
        <w:rPr>
          <w:color w:val="000000" w:themeColor="text1"/>
          <w14:textFill>
            <w14:solidFill>
              <w14:schemeClr w14:val="tx1"/>
            </w14:solidFill>
          </w14:textFill>
        </w:rPr>
      </w:pPr>
      <w:r>
        <w:rPr>
          <w:color w:val="000000" w:themeColor="text1"/>
          <w14:textFill>
            <w14:solidFill>
              <w14:schemeClr w14:val="tx1"/>
            </w14:solidFill>
          </w14:textFill>
        </w:rPr>
        <w:t>—在电缆敷设路径附近，当有产生明火的作业时，应采取防止火花损伤电缆的措施；</w:t>
      </w:r>
    </w:p>
    <w:p w14:paraId="194B6FFC">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对需埋地敷设的电缆线路应设有走向标志和安全标志。电缆埋地深度不应小于0.7m，穿越道路时应加设防护套管；</w:t>
      </w:r>
    </w:p>
    <w:p w14:paraId="3D687C01">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现场临时用电配电盘、箱应有电压标志和危险标志，应有防雨措施，盘、箱、门应能牢靠关闭并上锁管理；</w:t>
      </w:r>
    </w:p>
    <w:p w14:paraId="6EED7784">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临时用电设施应安装符合规范要求的漏电保护器，移动工具、手持式电动工具应逐个配置漏电保护器和电源开关。</w:t>
      </w:r>
    </w:p>
    <w:p w14:paraId="0014AFFC">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未经批准，临时用电单位不应向其他单位转供电或增加用电负荷，以及变更用电地点和用途。</w:t>
      </w:r>
    </w:p>
    <w:p w14:paraId="0A68F80D">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临时用电时间一般不超过15天，特殊情况不应超过30天；用于动火、受限空间作业的临时用电时间应和相应作业时间一致；用电结束后，用电单位应及时通知供电单位拆除临时用电线路。</w:t>
      </w:r>
    </w:p>
    <w:p w14:paraId="31DF78EA">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动火作业安全对策措施及建议</w:t>
      </w:r>
    </w:p>
    <w:p w14:paraId="75CA0CBC">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动火作业应有专人监护，作业前应清除动火现场及周围的易燃物品，或采取其他有效安全防火措施，并配备消防器材，满足作业现场应急需求。</w:t>
      </w:r>
    </w:p>
    <w:p w14:paraId="6E3CF265">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14:paraId="33EB295F">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拆除管线进行动火作业时，应先查明其内部介质危险特性、工艺条件及其走向，并根据所要拆除管线的情况制定安全防护措施。</w:t>
      </w:r>
    </w:p>
    <w:p w14:paraId="49B23BE3">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动火点周围或其下方如有可燃物、电缆桥架、孔洞、</w:t>
      </w:r>
      <w:r>
        <w:rPr>
          <w:rFonts w:hint="eastAsia"/>
          <w:color w:val="000000" w:themeColor="text1"/>
          <w:lang w:val="en-US" w:eastAsia="zh-CN"/>
          <w14:textFill>
            <w14:solidFill>
              <w14:schemeClr w14:val="tx1"/>
            </w14:solidFill>
          </w14:textFill>
        </w:rPr>
        <w:t>窨</w:t>
      </w:r>
      <w:r>
        <w:rPr>
          <w:color w:val="000000" w:themeColor="text1"/>
          <w14:textFill>
            <w14:solidFill>
              <w14:schemeClr w14:val="tx1"/>
            </w14:solidFill>
          </w14:textFill>
        </w:rPr>
        <w:t>井、地沟等，应检查分析并采取清理或封盖等措施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对于动火点周围15m范围内有可能泄漏易燃、可燃物料的设备设施，应采取隔离措施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对于受热分解可产生易燃易爆、有毒有害物质的场所，应进行风险分析并采取清理或封盖等防护措施。</w:t>
      </w:r>
    </w:p>
    <w:p w14:paraId="1062DB81">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在有可燃物构件和使用可燃物做防腐内衬的设备内部进行动火作业时，应采取防火隔绝措施。</w:t>
      </w:r>
    </w:p>
    <w:p w14:paraId="0D2EF5DB">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在较长的物料管线上动火，动火前应在彻底隔绝区域内分段采样分析。</w:t>
      </w:r>
    </w:p>
    <w:p w14:paraId="2674EE2F">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在罐区防火堤内进行动火作业时，不应同时进行切水、取样作业。</w:t>
      </w:r>
    </w:p>
    <w:p w14:paraId="2CDB6806">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动火期间，距动火点30m内不应排放可燃气体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距动火点15m内不应排放可燃液体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在动火点10m范围内、动火点上方及下方不应同时进行可燃溶剂清洗或喷漆作业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在动火点10m范围内不应进行可燃性粉尘</w:t>
      </w:r>
      <w:r>
        <w:rPr>
          <w:rFonts w:hint="eastAsia"/>
          <w:color w:val="000000" w:themeColor="text1"/>
          <w14:textFill>
            <w14:solidFill>
              <w14:schemeClr w14:val="tx1"/>
            </w14:solidFill>
          </w14:textFill>
        </w:rPr>
        <w:t>、灰尘及杂物</w:t>
      </w:r>
      <w:r>
        <w:rPr>
          <w:color w:val="000000" w:themeColor="text1"/>
          <w14:textFill>
            <w14:solidFill>
              <w14:schemeClr w14:val="tx1"/>
            </w14:solidFill>
          </w14:textFill>
        </w:rPr>
        <w:t>清扫作业。</w:t>
      </w:r>
    </w:p>
    <w:p w14:paraId="35AA1B7F">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特级动火作业应采集全过程作业影像，且作业现场使用的摄录设备应为防爆型。</w:t>
      </w:r>
    </w:p>
    <w:p w14:paraId="74E39097">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使用电焊机作业时，电焊机与动火点的间距不应超过10m，不能满足要求时应将电焊机作为动火点进行管理。</w:t>
      </w:r>
    </w:p>
    <w:p w14:paraId="1707ECCA">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使用气焊、气割动火作业时，乙炔瓶应直立放置，不应卧放使用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氧气瓶与乙炔瓶的间距不应小于5m，二者与动火点间距不应小于10m，并应采取防晒和防倾倒措施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乙炔瓶应安装防回火装置。</w:t>
      </w:r>
    </w:p>
    <w:p w14:paraId="6421628A">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作业完毕后应清理现场，确认无残留火种后方可离开。</w:t>
      </w:r>
    </w:p>
    <w:p w14:paraId="6247F72B">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遇五级风以上（含五级风）天气，禁止露天动火作业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因生产确需动火，动火作业应升级管理。</w:t>
      </w:r>
    </w:p>
    <w:p w14:paraId="4C4FDB95">
      <w:pPr>
        <w:pStyle w:val="4"/>
        <w:ind w:firstLine="562"/>
        <w:rPr>
          <w:color w:val="000000" w:themeColor="text1"/>
          <w14:textFill>
            <w14:solidFill>
              <w14:schemeClr w14:val="tx1"/>
            </w14:solidFill>
          </w14:textFill>
        </w:rPr>
      </w:pPr>
      <w:bookmarkStart w:id="419" w:name="_Toc7712"/>
      <w:r>
        <w:rPr>
          <w:rFonts w:hint="eastAsia"/>
          <w:color w:val="000000" w:themeColor="text1"/>
          <w14:textFill>
            <w14:solidFill>
              <w14:schemeClr w14:val="tx1"/>
            </w14:solidFill>
          </w14:textFill>
        </w:rPr>
        <w:t>加油站油品卸油对策措施</w:t>
      </w:r>
      <w:bookmarkEnd w:id="419"/>
    </w:p>
    <w:p w14:paraId="0319EB18">
      <w:pPr>
        <w:rPr>
          <w:color w:val="000000" w:themeColor="text1"/>
          <w14:textFill>
            <w14:solidFill>
              <w14:schemeClr w14:val="tx1"/>
            </w14:solidFill>
          </w14:textFill>
        </w:rPr>
      </w:pPr>
      <w:r>
        <w:rPr>
          <w:rFonts w:hint="eastAsia"/>
          <w:color w:val="000000" w:themeColor="text1"/>
          <w14:textFill>
            <w14:solidFill>
              <w14:schemeClr w14:val="tx1"/>
            </w14:solidFill>
          </w14:textFill>
        </w:rPr>
        <w:t>1.基本要</w:t>
      </w:r>
      <w:r>
        <w:rPr>
          <w:color w:val="000000" w:themeColor="text1"/>
          <w14:textFill>
            <w14:solidFill>
              <w14:schemeClr w14:val="tx1"/>
            </w14:solidFill>
          </w14:textFill>
        </w:rPr>
        <w:t>求</w:t>
      </w:r>
    </w:p>
    <w:p w14:paraId="75CC835B">
      <w:pPr>
        <w:rPr>
          <w:color w:val="000000" w:themeColor="text1"/>
          <w14:textFill>
            <w14:solidFill>
              <w14:schemeClr w14:val="tx1"/>
            </w14:solidFill>
          </w14:textFill>
        </w:rPr>
      </w:pPr>
      <w:r>
        <w:rPr>
          <w:rFonts w:hint="eastAsia"/>
          <w:color w:val="000000" w:themeColor="text1"/>
          <w14:textFill>
            <w14:solidFill>
              <w14:schemeClr w14:val="tx1"/>
            </w14:solidFill>
          </w14:textFill>
        </w:rPr>
        <w:t>（1）应具备密闭卸油的条件。</w:t>
      </w:r>
    </w:p>
    <w:p w14:paraId="365C0678">
      <w:pPr>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（2）防雷﹑防静电接地设施应完好。</w:t>
      </w:r>
    </w:p>
    <w:p w14:paraId="793ED36C">
      <w:pPr>
        <w:rPr>
          <w:color w:val="000000" w:themeColor="text1"/>
          <w14:textFill>
            <w14:solidFill>
              <w14:schemeClr w14:val="tx1"/>
            </w14:solidFill>
          </w14:textFill>
        </w:rPr>
      </w:pPr>
      <w:r>
        <w:rPr>
          <w:rFonts w:hint="eastAsia"/>
          <w:color w:val="000000" w:themeColor="text1"/>
          <w14:textFill>
            <w14:solidFill>
              <w14:schemeClr w14:val="tx1"/>
            </w14:solidFill>
          </w14:textFill>
        </w:rPr>
        <w:t>（3）油罐车排气管应安装阻火帽。</w:t>
      </w:r>
    </w:p>
    <w:p w14:paraId="0014E8A0">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（4）卸油作业现场应至少配备2具手提式干粉灭火器和</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块灭火毯等应急救援物资。</w:t>
      </w:r>
    </w:p>
    <w:p w14:paraId="3F2EFD90">
      <w:pPr>
        <w:rPr>
          <w:color w:val="000000" w:themeColor="text1"/>
          <w14:textFill>
            <w14:solidFill>
              <w14:schemeClr w14:val="tx1"/>
            </w14:solidFill>
          </w14:textFill>
        </w:rPr>
      </w:pPr>
      <w:r>
        <w:rPr>
          <w:rFonts w:hint="eastAsia"/>
          <w:color w:val="000000" w:themeColor="text1"/>
          <w14:textFill>
            <w14:solidFill>
              <w14:schemeClr w14:val="tx1"/>
            </w14:solidFill>
          </w14:textFill>
        </w:rPr>
        <w:t>（5）油罐车宜采用液位差自流方式卸油。</w:t>
      </w:r>
    </w:p>
    <w:p w14:paraId="0377B8FD">
      <w:pPr>
        <w:rPr>
          <w:color w:val="000000" w:themeColor="text1"/>
          <w14:textFill>
            <w14:solidFill>
              <w14:schemeClr w14:val="tx1"/>
            </w14:solidFill>
          </w14:textFill>
        </w:rPr>
      </w:pPr>
      <w:r>
        <w:rPr>
          <w:rFonts w:hint="eastAsia"/>
          <w:color w:val="000000" w:themeColor="text1"/>
          <w14:textFill>
            <w14:solidFill>
              <w14:schemeClr w14:val="tx1"/>
            </w14:solidFill>
          </w14:textFill>
        </w:rPr>
        <w:t>（6）卸油作业区的辅助设施应具有防静电措施；进入卸油区作业的人员，应先通过具有报警功能的人体静电释放装置消除静电。</w:t>
      </w:r>
    </w:p>
    <w:p w14:paraId="5427AB37">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卸油</w:t>
      </w:r>
      <w:r>
        <w:rPr>
          <w:rFonts w:hint="eastAsia"/>
          <w:color w:val="000000" w:themeColor="text1"/>
          <w14:textFill>
            <w14:solidFill>
              <w14:schemeClr w14:val="tx1"/>
            </w14:solidFill>
          </w14:textFill>
        </w:rPr>
        <w:t>作业</w:t>
      </w:r>
    </w:p>
    <w:p w14:paraId="349A3D34">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（1）加油站人员应在确认油罐车无油品滴漏后，方可引导油罐车进入卸油作业区，油罐车在站内车速不应大于5km/h。</w:t>
      </w:r>
    </w:p>
    <w:p w14:paraId="30B435CD">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（2）油罐车停于卸油停车位熄火并拉上手刹，车轮处宜放置与最大允许总质量和车轮尺寸相匹配的轮挡，车钥匙宜放置指定位置管控。</w:t>
      </w:r>
    </w:p>
    <w:p w14:paraId="6B92CB87">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（3）卸油人员应将防静电跨接线连接到油罐车专用接地端，并确认接触良好。</w:t>
      </w:r>
    </w:p>
    <w:p w14:paraId="163E348A">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（4）卸油作业现场应设置隔离警示标识。</w:t>
      </w:r>
    </w:p>
    <w:p w14:paraId="1A88EA01">
      <w:pPr>
        <w:rPr>
          <w:color w:val="000000" w:themeColor="text1"/>
          <w14:textFill>
            <w14:solidFill>
              <w14:schemeClr w14:val="tx1"/>
            </w14:solidFill>
          </w14:textFill>
        </w:rPr>
      </w:pPr>
      <w:r>
        <w:rPr>
          <w:rFonts w:hint="eastAsia"/>
          <w:color w:val="000000" w:themeColor="text1"/>
          <w14:textFill>
            <w14:solidFill>
              <w14:schemeClr w14:val="tx1"/>
            </w14:solidFill>
          </w14:textFill>
        </w:rPr>
        <w:t>（5）手提式灭火器宜摆放在距卸油口2m～3m处。</w:t>
      </w:r>
    </w:p>
    <w:p w14:paraId="52EAF412">
      <w:pPr>
        <w:rPr>
          <w:color w:val="000000" w:themeColor="text1"/>
          <w14:textFill>
            <w14:solidFill>
              <w14:schemeClr w14:val="tx1"/>
            </w14:solidFill>
          </w14:textFill>
        </w:rPr>
      </w:pPr>
      <w:r>
        <w:rPr>
          <w:rFonts w:hint="eastAsia"/>
          <w:color w:val="000000" w:themeColor="text1"/>
          <w14:textFill>
            <w14:solidFill>
              <w14:schemeClr w14:val="tx1"/>
            </w14:solidFill>
          </w14:textFill>
        </w:rPr>
        <w:t>（6）应在油罐车静置进行静电释放5min后，方可进行计量，取样和卸油等相关作业。</w:t>
      </w:r>
    </w:p>
    <w:p w14:paraId="78F09574">
      <w:pPr>
        <w:rPr>
          <w:color w:val="000000" w:themeColor="text1"/>
          <w14:textFill>
            <w14:solidFill>
              <w14:schemeClr w14:val="tx1"/>
            </w14:solidFill>
          </w14:textFill>
        </w:rPr>
      </w:pPr>
      <w:r>
        <w:rPr>
          <w:rFonts w:hint="eastAsia"/>
          <w:color w:val="000000" w:themeColor="text1"/>
          <w14:textFill>
            <w14:solidFill>
              <w14:schemeClr w14:val="tx1"/>
            </w14:solidFill>
          </w14:textFill>
        </w:rPr>
        <w:t>（7）检查确认油罐计量孔密闭良好，汽油罐通气管上阀门应处于关闭状态，安装呼吸阀的通气管上阀门应处于开启状态。</w:t>
      </w:r>
    </w:p>
    <w:p w14:paraId="2E0E0BAB">
      <w:pPr>
        <w:rPr>
          <w:color w:val="000000" w:themeColor="text1"/>
          <w14:textFill>
            <w14:solidFill>
              <w14:schemeClr w14:val="tx1"/>
            </w14:solidFill>
          </w14:textFill>
        </w:rPr>
      </w:pPr>
      <w:r>
        <w:rPr>
          <w:rFonts w:hint="eastAsia"/>
          <w:color w:val="000000" w:themeColor="text1"/>
          <w14:textFill>
            <w14:solidFill>
              <w14:schemeClr w14:val="tx1"/>
            </w14:solidFill>
          </w14:textFill>
        </w:rPr>
        <w:t>（8）卸油前，应计量油罐的存油量，确认有足够的剩余容量，并核对罐车单据与油罐中油品的名称、牌号是否一致。</w:t>
      </w:r>
    </w:p>
    <w:p w14:paraId="7206CB6D">
      <w:pPr>
        <w:rPr>
          <w:color w:val="000000" w:themeColor="text1"/>
          <w14:textFill>
            <w14:solidFill>
              <w14:schemeClr w14:val="tx1"/>
            </w14:solidFill>
          </w14:textFill>
        </w:rPr>
      </w:pPr>
      <w:r>
        <w:rPr>
          <w:rFonts w:hint="eastAsia"/>
          <w:color w:val="000000" w:themeColor="text1"/>
          <w14:textFill>
            <w14:solidFill>
              <w14:schemeClr w14:val="tx1"/>
            </w14:solidFill>
          </w14:textFill>
        </w:rPr>
        <w:t>（9）对油罐车进行人工取样时，人员应戴安全帽，应选用铝或铜等不发火花、不易积聚静电的器具；油样可通过卸油口回罐，不应从计量孔倒人。若人员在油罐车罐顶上取样，还应采取防坠落措施，并有人监护。</w:t>
      </w:r>
    </w:p>
    <w:p w14:paraId="62991F17">
      <w:pPr>
        <w:rPr>
          <w:color w:val="000000" w:themeColor="text1"/>
          <w14:textFill>
            <w14:solidFill>
              <w14:schemeClr w14:val="tx1"/>
            </w14:solidFill>
          </w14:textFill>
        </w:rPr>
      </w:pPr>
      <w:r>
        <w:rPr>
          <w:rFonts w:hint="eastAsia"/>
          <w:color w:val="000000" w:themeColor="text1"/>
          <w14:textFill>
            <w14:solidFill>
              <w14:schemeClr w14:val="tx1"/>
            </w14:solidFill>
          </w14:textFill>
        </w:rPr>
        <w:t>（10）卸油人员应按工艺流程将卸油软管和汽油油气回收软管与油罐车和埋地油罐紧密连接，保持卸油软管自然弯曲。</w:t>
      </w:r>
    </w:p>
    <w:p w14:paraId="4D40E937">
      <w:pPr>
        <w:rPr>
          <w:color w:val="000000" w:themeColor="text1"/>
          <w14:textFill>
            <w14:solidFill>
              <w14:schemeClr w14:val="tx1"/>
            </w14:solidFill>
          </w14:textFill>
        </w:rPr>
      </w:pPr>
      <w:r>
        <w:rPr>
          <w:rFonts w:hint="eastAsia"/>
          <w:color w:val="000000" w:themeColor="text1"/>
          <w14:textFill>
            <w14:solidFill>
              <w14:schemeClr w14:val="tx1"/>
            </w14:solidFill>
          </w14:textFill>
        </w:rPr>
        <w:t>（11）经双方检查确认具备开阀卸油条件后，将卸油口对应油罐进油阀门打开（卸汽油时先打开气路阀门），再缓慢开启油罐车卸油阀门。通过采取调节阀门开度等措施控制卸油流速不大于4.5m/s。</w:t>
      </w:r>
    </w:p>
    <w:p w14:paraId="1E4A988A">
      <w:pPr>
        <w:rPr>
          <w:color w:val="000000" w:themeColor="text1"/>
          <w14:textFill>
            <w14:solidFill>
              <w14:schemeClr w14:val="tx1"/>
            </w14:solidFill>
          </w14:textFill>
        </w:rPr>
      </w:pPr>
      <w:r>
        <w:rPr>
          <w:rFonts w:hint="eastAsia"/>
          <w:color w:val="000000" w:themeColor="text1"/>
          <w14:textFill>
            <w14:solidFill>
              <w14:schemeClr w14:val="tx1"/>
            </w14:solidFill>
          </w14:textFill>
        </w:rPr>
        <w:t>（12）卸油作业过程中应有专人监护，油罐车驾驶员和押运员不应同时离开作业现场。无人监护时，应停止作业。</w:t>
      </w:r>
    </w:p>
    <w:p w14:paraId="04F23B2C">
      <w:pPr>
        <w:rPr>
          <w:color w:val="000000" w:themeColor="text1"/>
          <w14:textFill>
            <w14:solidFill>
              <w14:schemeClr w14:val="tx1"/>
            </w14:solidFill>
          </w14:textFill>
        </w:rPr>
      </w:pPr>
      <w:r>
        <w:rPr>
          <w:rFonts w:hint="eastAsia"/>
          <w:color w:val="000000" w:themeColor="text1"/>
          <w14:textFill>
            <w14:solidFill>
              <w14:schemeClr w14:val="tx1"/>
            </w14:solidFill>
          </w14:textFill>
        </w:rPr>
        <w:t>（13）卸油作业过程中，不应开启计量孔，不应修理，擦洗油罐车，不应鸣笛；使用器具时要轻拿轻放；与该罐连接且无防水杂措施的加油机应停止加油作业。</w:t>
      </w:r>
    </w:p>
    <w:p w14:paraId="5E13CAC7">
      <w:pPr>
        <w:rPr>
          <w:color w:val="000000" w:themeColor="text1"/>
          <w14:textFill>
            <w14:solidFill>
              <w14:schemeClr w14:val="tx1"/>
            </w14:solidFill>
          </w14:textFill>
        </w:rPr>
      </w:pPr>
      <w:r>
        <w:rPr>
          <w:rFonts w:hint="eastAsia"/>
          <w:color w:val="000000" w:themeColor="text1"/>
          <w14:textFill>
            <w14:solidFill>
              <w14:schemeClr w14:val="tx1"/>
            </w14:solidFill>
          </w14:textFill>
        </w:rPr>
        <w:t>（14）卸油时若发生油料溅溢或其他影响卸油安全情况时，应立即停止作业并及时处理。若发生事故，应立即停止作业，并按应急预案进行应急处置。</w:t>
      </w:r>
    </w:p>
    <w:p w14:paraId="1F4CC329">
      <w:pPr>
        <w:rPr>
          <w:color w:val="000000" w:themeColor="text1"/>
          <w14:textFill>
            <w14:solidFill>
              <w14:schemeClr w14:val="tx1"/>
            </w14:solidFill>
          </w14:textFill>
        </w:rPr>
      </w:pPr>
      <w:r>
        <w:rPr>
          <w:rFonts w:hint="eastAsia"/>
          <w:color w:val="000000" w:themeColor="text1"/>
          <w14:textFill>
            <w14:solidFill>
              <w14:schemeClr w14:val="tx1"/>
            </w14:solidFill>
          </w14:textFill>
        </w:rPr>
        <w:t>（15）卸至软管内无油后，应做好以下工作：</w:t>
      </w:r>
    </w:p>
    <w:p w14:paraId="0CA7C6DE">
      <w:pPr>
        <w:rPr>
          <w:color w:val="000000" w:themeColor="text1"/>
          <w14:textFill>
            <w14:solidFill>
              <w14:schemeClr w14:val="tx1"/>
            </w14:solidFill>
          </w14:textFill>
        </w:rPr>
      </w:pPr>
      <w:r>
        <w:rPr>
          <w:rFonts w:hint="eastAsia"/>
          <w:color w:val="000000" w:themeColor="text1"/>
          <w14:textFill>
            <w14:solidFill>
              <w14:schemeClr w14:val="tx1"/>
            </w14:solidFill>
          </w14:textFill>
        </w:rPr>
        <w:t>a）关闭软管两端阀门；</w:t>
      </w:r>
    </w:p>
    <w:p w14:paraId="71D61BCC">
      <w:pPr>
        <w:rPr>
          <w:color w:val="000000" w:themeColor="text1"/>
          <w14:textFill>
            <w14:solidFill>
              <w14:schemeClr w14:val="tx1"/>
            </w14:solidFill>
          </w14:textFill>
        </w:rPr>
      </w:pPr>
      <w:r>
        <w:rPr>
          <w:rFonts w:hint="eastAsia"/>
          <w:color w:val="000000" w:themeColor="text1"/>
          <w14:textFill>
            <w14:solidFill>
              <w14:schemeClr w14:val="tx1"/>
            </w14:solidFill>
          </w14:textFill>
        </w:rPr>
        <w:t>b）拆除软管，将卸油接口的密封盖盖紧并加锁；</w:t>
      </w:r>
    </w:p>
    <w:p w14:paraId="631321A0">
      <w:pPr>
        <w:rPr>
          <w:color w:val="000000" w:themeColor="text1"/>
          <w14:textFill>
            <w14:solidFill>
              <w14:schemeClr w14:val="tx1"/>
            </w14:solidFill>
          </w14:textFill>
        </w:rPr>
      </w:pPr>
      <w:r>
        <w:rPr>
          <w:rFonts w:hint="eastAsia"/>
          <w:color w:val="000000" w:themeColor="text1"/>
          <w14:textFill>
            <w14:solidFill>
              <w14:schemeClr w14:val="tx1"/>
            </w14:solidFill>
          </w14:textFill>
        </w:rPr>
        <w:t>c）收回卸油软管和防静电跨接线，收存软管时不应抛摔，以防接头变形。</w:t>
      </w:r>
    </w:p>
    <w:p w14:paraId="13329C71">
      <w:pPr>
        <w:rPr>
          <w:color w:val="000000" w:themeColor="text1"/>
          <w14:textFill>
            <w14:solidFill>
              <w14:schemeClr w14:val="tx1"/>
            </w14:solidFill>
          </w14:textFill>
        </w:rPr>
      </w:pPr>
      <w:r>
        <w:rPr>
          <w:rFonts w:hint="eastAsia"/>
          <w:color w:val="000000" w:themeColor="text1"/>
          <w14:textFill>
            <w14:solidFill>
              <w14:schemeClr w14:val="tx1"/>
            </w14:solidFill>
          </w14:textFill>
        </w:rPr>
        <w:t>（16）卸油结束后，卸油员应全面检查并确认状态正常，方可引导油罐车启动车辆，离站，并清理卸油现场，将应急器材放回原位。</w:t>
      </w:r>
    </w:p>
    <w:p w14:paraId="44A5A6F4">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卸油口未使用时应加锁。</w:t>
      </w:r>
    </w:p>
    <w:p w14:paraId="74117190">
      <w:pPr>
        <w:pStyle w:val="4"/>
        <w:ind w:firstLine="562"/>
        <w:rPr>
          <w:color w:val="000000" w:themeColor="text1"/>
          <w14:textFill>
            <w14:solidFill>
              <w14:schemeClr w14:val="tx1"/>
            </w14:solidFill>
          </w14:textFill>
        </w:rPr>
      </w:pPr>
      <w:bookmarkStart w:id="420" w:name="_Toc30250"/>
      <w:r>
        <w:rPr>
          <w:rFonts w:hint="eastAsia"/>
          <w:color w:val="000000" w:themeColor="text1"/>
          <w14:textFill>
            <w14:solidFill>
              <w14:schemeClr w14:val="tx1"/>
            </w14:solidFill>
          </w14:textFill>
        </w:rPr>
        <w:t>加油站油品储存对策措施</w:t>
      </w:r>
      <w:bookmarkEnd w:id="420"/>
    </w:p>
    <w:p w14:paraId="7905E9B5">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油品按种类分别储存在相应的油罐中</w:t>
      </w:r>
      <w:r>
        <w:rPr>
          <w:rFonts w:hint="eastAsia"/>
          <w:color w:val="000000" w:themeColor="text1"/>
          <w14:textFill>
            <w14:solidFill>
              <w14:schemeClr w14:val="tx1"/>
            </w14:solidFill>
          </w14:textFill>
        </w:rPr>
        <w:t>；</w:t>
      </w:r>
    </w:p>
    <w:p w14:paraId="55047BE4">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油罐的通气管保证畅通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阻火器安全性能符合要求</w:t>
      </w:r>
      <w:r>
        <w:rPr>
          <w:rFonts w:hint="eastAsia"/>
          <w:color w:val="000000" w:themeColor="text1"/>
          <w14:textFill>
            <w14:solidFill>
              <w14:schemeClr w14:val="tx1"/>
            </w14:solidFill>
          </w14:textFill>
        </w:rPr>
        <w:t>；</w:t>
      </w:r>
    </w:p>
    <w:p w14:paraId="01C45C38">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罐区所有设施配置静电接地装置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且符合规范标准要求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进行定期检查、检测</w:t>
      </w:r>
      <w:r>
        <w:rPr>
          <w:rFonts w:hint="eastAsia"/>
          <w:color w:val="000000" w:themeColor="text1"/>
          <w14:textFill>
            <w14:solidFill>
              <w14:schemeClr w14:val="tx1"/>
            </w14:solidFill>
          </w14:textFill>
        </w:rPr>
        <w:t>；</w:t>
      </w:r>
    </w:p>
    <w:p w14:paraId="7E3AD218">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油罐区配备消防器材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定期维护保养</w:t>
      </w:r>
      <w:r>
        <w:rPr>
          <w:rFonts w:hint="eastAsia"/>
          <w:color w:val="000000" w:themeColor="text1"/>
          <w14:textFill>
            <w14:solidFill>
              <w14:schemeClr w14:val="tx1"/>
            </w14:solidFill>
          </w14:textFill>
        </w:rPr>
        <w:t>；</w:t>
      </w:r>
    </w:p>
    <w:p w14:paraId="0C6835EE">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油罐区严禁烟火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动火作业必须办理动火作业许可证</w:t>
      </w:r>
      <w:r>
        <w:rPr>
          <w:rFonts w:hint="eastAsia"/>
          <w:color w:val="000000" w:themeColor="text1"/>
          <w14:textFill>
            <w14:solidFill>
              <w14:schemeClr w14:val="tx1"/>
            </w14:solidFill>
          </w14:textFill>
        </w:rPr>
        <w:t>；</w:t>
      </w:r>
    </w:p>
    <w:p w14:paraId="15D21496">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油罐区通道、出入口和通向消防设施的道路保持畅通</w:t>
      </w:r>
      <w:r>
        <w:rPr>
          <w:rFonts w:hint="eastAsia"/>
          <w:color w:val="000000" w:themeColor="text1"/>
          <w14:textFill>
            <w14:solidFill>
              <w14:schemeClr w14:val="tx1"/>
            </w14:solidFill>
          </w14:textFill>
        </w:rPr>
        <w:t>；</w:t>
      </w:r>
    </w:p>
    <w:p w14:paraId="241DCC56">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加强对员工安全作业的培训教育</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并做到持证上岗</w:t>
      </w:r>
      <w:r>
        <w:rPr>
          <w:rFonts w:hint="eastAsia"/>
          <w:color w:val="000000" w:themeColor="text1"/>
          <w14:textFill>
            <w14:solidFill>
              <w14:schemeClr w14:val="tx1"/>
            </w14:solidFill>
          </w14:textFill>
        </w:rPr>
        <w:t>；</w:t>
      </w:r>
    </w:p>
    <w:p w14:paraId="150752EF">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做好相应的测量记录。</w:t>
      </w:r>
    </w:p>
    <w:p w14:paraId="4250A14B">
      <w:pPr>
        <w:pStyle w:val="4"/>
        <w:ind w:firstLine="562"/>
        <w:rPr>
          <w:color w:val="000000" w:themeColor="text1"/>
          <w14:textFill>
            <w14:solidFill>
              <w14:schemeClr w14:val="tx1"/>
            </w14:solidFill>
          </w14:textFill>
        </w:rPr>
      </w:pPr>
      <w:bookmarkStart w:id="421" w:name="_Toc22661"/>
      <w:r>
        <w:rPr>
          <w:rFonts w:hint="eastAsia"/>
          <w:color w:val="000000" w:themeColor="text1"/>
          <w14:textFill>
            <w14:solidFill>
              <w14:schemeClr w14:val="tx1"/>
            </w14:solidFill>
          </w14:textFill>
        </w:rPr>
        <w:t>加油站油品计量对策措施</w:t>
      </w:r>
      <w:bookmarkEnd w:id="421"/>
    </w:p>
    <w:p w14:paraId="61972A68">
      <w:pPr>
        <w:rPr>
          <w:color w:val="000000" w:themeColor="text1"/>
          <w14:textFill>
            <w14:solidFill>
              <w14:schemeClr w14:val="tx1"/>
            </w14:solidFill>
          </w14:textFill>
        </w:rPr>
      </w:pPr>
      <w:r>
        <w:rPr>
          <w:rFonts w:hint="eastAsia"/>
          <w:color w:val="000000" w:themeColor="text1"/>
          <w14:textFill>
            <w14:solidFill>
              <w14:schemeClr w14:val="tx1"/>
            </w14:solidFill>
          </w14:textFill>
        </w:rPr>
        <w:t>（1）应采用电子液位计进行测量。人工计量时，应使用符合计量和安全要求的计量器具。</w:t>
      </w:r>
    </w:p>
    <w:p w14:paraId="57DA60B4">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（2）油罐静态计量时，与该罐连接的给油设备应停止使用。</w:t>
      </w:r>
    </w:p>
    <w:p w14:paraId="11FEAFCD">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（3）卸油后，静置5 min后方可进行人工取样，测水和计量，人宜站在上风方向进行作业。对于汽油罐，若罐内正压，应先打开通气阀进行泄压后再打开量油帽，作业结束后，应及时复位。</w:t>
      </w:r>
    </w:p>
    <w:p w14:paraId="6AC8CF36">
      <w:pPr>
        <w:rPr>
          <w:color w:val="000000" w:themeColor="text1"/>
          <w14:textFill>
            <w14:solidFill>
              <w14:schemeClr w14:val="tx1"/>
            </w14:solidFill>
          </w14:textFill>
        </w:rPr>
      </w:pPr>
      <w:r>
        <w:rPr>
          <w:rFonts w:hint="eastAsia"/>
          <w:color w:val="000000" w:themeColor="text1"/>
          <w14:textFill>
            <w14:solidFill>
              <w14:schemeClr w14:val="tx1"/>
            </w14:solidFill>
          </w14:textFill>
        </w:rPr>
        <w:t>（4）采用人工取样、计量、测水和测温时，工具应符合安全要求，工具上提速度不应大于0.5m/s，下落速度不应大于1m/s。</w:t>
      </w:r>
    </w:p>
    <w:p w14:paraId="5DFE08CA">
      <w:pPr>
        <w:rPr>
          <w:color w:val="000000" w:themeColor="text1"/>
          <w14:textFill>
            <w14:solidFill>
              <w14:schemeClr w14:val="tx1"/>
            </w14:solidFill>
          </w14:textFill>
        </w:rPr>
      </w:pPr>
      <w:r>
        <w:rPr>
          <w:rFonts w:hint="eastAsia"/>
          <w:color w:val="000000" w:themeColor="text1"/>
          <w14:textFill>
            <w14:solidFill>
              <w14:schemeClr w14:val="tx1"/>
            </w14:solidFill>
          </w14:textFill>
        </w:rPr>
        <w:t>（5）夜间测量油罐时应使用防爆型照明设备。</w:t>
      </w:r>
    </w:p>
    <w:p w14:paraId="56E4B707">
      <w:pPr>
        <w:rPr>
          <w:color w:val="000000" w:themeColor="text1"/>
          <w14:textFill>
            <w14:solidFill>
              <w14:schemeClr w14:val="tx1"/>
            </w14:solidFill>
          </w14:textFill>
        </w:rPr>
      </w:pPr>
      <w:r>
        <w:rPr>
          <w:rFonts w:hint="eastAsia"/>
          <w:color w:val="000000" w:themeColor="text1"/>
          <w14:textFill>
            <w14:solidFill>
              <w14:schemeClr w14:val="tx1"/>
            </w14:solidFill>
          </w14:textFill>
        </w:rPr>
        <w:t>（6）编制油品计量安全操作规程，不断加强对员工安全作业的培训教育，并做到持证上岗；做好相应的测量记录。</w:t>
      </w:r>
    </w:p>
    <w:p w14:paraId="55CDCE8B">
      <w:pPr>
        <w:pStyle w:val="4"/>
        <w:ind w:firstLine="562"/>
        <w:rPr>
          <w:color w:val="000000" w:themeColor="text1"/>
          <w14:textFill>
            <w14:solidFill>
              <w14:schemeClr w14:val="tx1"/>
            </w14:solidFill>
          </w14:textFill>
        </w:rPr>
      </w:pPr>
      <w:bookmarkStart w:id="422" w:name="_Toc9657"/>
      <w:r>
        <w:rPr>
          <w:rFonts w:hint="eastAsia"/>
          <w:color w:val="000000" w:themeColor="text1"/>
          <w14:textFill>
            <w14:solidFill>
              <w14:schemeClr w14:val="tx1"/>
            </w14:solidFill>
          </w14:textFill>
        </w:rPr>
        <w:t>加油站加油对策措施</w:t>
      </w:r>
      <w:bookmarkEnd w:id="422"/>
    </w:p>
    <w:p w14:paraId="4F77D6D9">
      <w:pPr>
        <w:rPr>
          <w:color w:val="000000" w:themeColor="text1"/>
          <w14:textFill>
            <w14:solidFill>
              <w14:schemeClr w14:val="tx1"/>
            </w14:solidFill>
          </w14:textFill>
        </w:rPr>
      </w:pPr>
      <w:r>
        <w:rPr>
          <w:color w:val="000000" w:themeColor="text1"/>
          <w14:textFill>
            <w14:solidFill>
              <w14:schemeClr w14:val="tx1"/>
            </w14:solidFill>
          </w14:textFill>
        </w:rPr>
        <w:t>1.基本要求</w:t>
      </w:r>
    </w:p>
    <w:p w14:paraId="386B230B">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（1）加油机附近应按GB 50156的要求配备灭火器和灭火毯。加油机爆炸危险区域内不应放置可燃性物品。</w:t>
      </w:r>
    </w:p>
    <w:p w14:paraId="2E8A0B7E">
      <w:pPr>
        <w:rPr>
          <w:color w:val="000000" w:themeColor="text1"/>
          <w14:textFill>
            <w14:solidFill>
              <w14:schemeClr w14:val="tx1"/>
            </w14:solidFill>
          </w14:textFill>
        </w:rPr>
      </w:pPr>
      <w:r>
        <w:rPr>
          <w:rFonts w:hint="eastAsia"/>
          <w:color w:val="000000" w:themeColor="text1"/>
          <w14:textFill>
            <w14:solidFill>
              <w14:schemeClr w14:val="tx1"/>
            </w14:solidFill>
          </w14:textFill>
        </w:rPr>
        <w:t>（2）不应在加油作业区外进行加油作业。不应向未采取防止静电积聚措施的绝缘性容器进行散装加注。客户不应操作非自助加油机。</w:t>
      </w:r>
    </w:p>
    <w:p w14:paraId="49D92625">
      <w:pPr>
        <w:rPr>
          <w:color w:val="000000" w:themeColor="text1"/>
          <w14:textFill>
            <w14:solidFill>
              <w14:schemeClr w14:val="tx1"/>
            </w14:solidFill>
          </w14:textFill>
        </w:rPr>
      </w:pPr>
      <w:r>
        <w:rPr>
          <w:rFonts w:hint="eastAsia"/>
          <w:color w:val="000000" w:themeColor="text1"/>
          <w14:textFill>
            <w14:solidFill>
              <w14:schemeClr w14:val="tx1"/>
            </w14:solidFill>
          </w14:textFill>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14:paraId="5C935885">
      <w:pPr>
        <w:rPr>
          <w:color w:val="000000" w:themeColor="text1"/>
          <w14:textFill>
            <w14:solidFill>
              <w14:schemeClr w14:val="tx1"/>
            </w14:solidFill>
          </w14:textFill>
        </w:rPr>
      </w:pPr>
      <w:r>
        <w:rPr>
          <w:color w:val="000000" w:themeColor="text1"/>
          <w14:textFill>
            <w14:solidFill>
              <w14:schemeClr w14:val="tx1"/>
            </w14:solidFill>
          </w14:textFill>
        </w:rPr>
        <w:t>2.加油</w:t>
      </w:r>
      <w:r>
        <w:rPr>
          <w:rFonts w:hint="eastAsia"/>
          <w:color w:val="000000" w:themeColor="text1"/>
          <w14:textFill>
            <w14:solidFill>
              <w14:schemeClr w14:val="tx1"/>
            </w14:solidFill>
          </w14:textFill>
        </w:rPr>
        <w:t>作业</w:t>
      </w:r>
    </w:p>
    <w:p w14:paraId="34429ADE">
      <w:pPr>
        <w:rPr>
          <w:color w:val="000000" w:themeColor="text1"/>
          <w14:textFill>
            <w14:solidFill>
              <w14:schemeClr w14:val="tx1"/>
            </w14:solidFill>
          </w14:textFill>
        </w:rPr>
      </w:pPr>
      <w:r>
        <w:rPr>
          <w:rFonts w:hint="eastAsia"/>
          <w:color w:val="000000" w:themeColor="text1"/>
          <w14:textFill>
            <w14:solidFill>
              <w14:schemeClr w14:val="tx1"/>
            </w14:solidFill>
          </w14:textFill>
        </w:rPr>
        <w:t>（1）车辆驶人非自助加油站时，加油员宜主动引导车辆进入加油位置。</w:t>
      </w:r>
    </w:p>
    <w:p w14:paraId="5DE6C09C">
      <w:pPr>
        <w:rPr>
          <w:color w:val="000000" w:themeColor="text1"/>
          <w14:textFill>
            <w14:solidFill>
              <w14:schemeClr w14:val="tx1"/>
            </w14:solidFill>
          </w14:textFill>
        </w:rPr>
      </w:pPr>
      <w:r>
        <w:rPr>
          <w:rFonts w:hint="eastAsia"/>
          <w:color w:val="000000" w:themeColor="text1"/>
          <w14:textFill>
            <w14:solidFill>
              <w14:schemeClr w14:val="tx1"/>
            </w14:solidFill>
          </w14:textFill>
        </w:rPr>
        <w:t>（2）加油作业前，加油员应确认车辆停稳、熄火；摩托车驾驶人和乘座人员应离开座位，并将车辆熄火，放置平稳；加油员与客户确认油品的名称和牌号等信息；应提示客户在靠近油箱口前先释放人体静电。</w:t>
      </w:r>
    </w:p>
    <w:p w14:paraId="508DDE15">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（3）加油枪应为自封式加油枪，汽油加油流量不应大于50L/min。</w:t>
      </w:r>
    </w:p>
    <w:p w14:paraId="592BC6AD">
      <w:pPr>
        <w:rPr>
          <w:color w:val="000000" w:themeColor="text1"/>
          <w14:textFill>
            <w14:solidFill>
              <w14:schemeClr w14:val="tx1"/>
            </w14:solidFill>
          </w14:textFill>
        </w:rPr>
      </w:pPr>
      <w:r>
        <w:rPr>
          <w:rFonts w:hint="eastAsia"/>
          <w:color w:val="000000" w:themeColor="text1"/>
          <w14:textFill>
            <w14:solidFill>
              <w14:schemeClr w14:val="tx1"/>
            </w14:solidFill>
          </w14:textFill>
        </w:rPr>
        <w:t>（4）加油时应避免油料溅出，若发生油料滴漏、溢洒或影响加油作业安全的情况，应立即停止加油，并及时处理。</w:t>
      </w:r>
    </w:p>
    <w:p w14:paraId="275BEF70">
      <w:pPr>
        <w:rPr>
          <w:color w:val="000000" w:themeColor="text1"/>
          <w14:textFill>
            <w14:solidFill>
              <w14:schemeClr w14:val="tx1"/>
            </w14:solidFill>
          </w14:textFill>
        </w:rPr>
      </w:pPr>
      <w:r>
        <w:rPr>
          <w:rFonts w:hint="eastAsia"/>
          <w:color w:val="000000" w:themeColor="text1"/>
          <w14:textFill>
            <w14:solidFill>
              <w14:schemeClr w14:val="tx1"/>
            </w14:solidFill>
          </w14:textFill>
        </w:rPr>
        <w:t>（5）加完油后，应立即将加油枪复位于加油机。</w:t>
      </w:r>
    </w:p>
    <w:p w14:paraId="609C7997">
      <w:pPr>
        <w:pStyle w:val="4"/>
        <w:ind w:firstLine="562"/>
        <w:rPr>
          <w:color w:val="000000" w:themeColor="text1"/>
          <w14:textFill>
            <w14:solidFill>
              <w14:schemeClr w14:val="tx1"/>
            </w14:solidFill>
          </w14:textFill>
        </w:rPr>
      </w:pPr>
      <w:bookmarkStart w:id="423" w:name="_Toc1601"/>
      <w:r>
        <w:rPr>
          <w:rFonts w:hint="eastAsia"/>
          <w:color w:val="000000" w:themeColor="text1"/>
          <w14:textFill>
            <w14:solidFill>
              <w14:schemeClr w14:val="tx1"/>
            </w14:solidFill>
          </w14:textFill>
        </w:rPr>
        <w:t>劳动防护用品配备和使用建议</w:t>
      </w:r>
      <w:bookmarkEnd w:id="423"/>
    </w:p>
    <w:p w14:paraId="79BCB35D">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.防护用品配备</w:t>
      </w:r>
    </w:p>
    <w:p w14:paraId="517CA0FF">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加油站应当按照国家颁发的劳动防护用品配备标准以及有关规定，为从业人员配备劳动防护用品。</w:t>
      </w:r>
    </w:p>
    <w:p w14:paraId="0CC8A92D">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.防护用品佩戴</w:t>
      </w:r>
    </w:p>
    <w:p w14:paraId="149A1754">
      <w:pPr>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从业人员在作业过程中，必须严格按照安全生产规章制度和劳动防护用品使用规则，正确佩戴和使用劳动防护用品；未按规定佩戴和使用劳动防护用品的，不得上岗作业。</w:t>
      </w:r>
    </w:p>
    <w:p w14:paraId="45B7FE21">
      <w:pPr>
        <w:pStyle w:val="4"/>
        <w:ind w:firstLine="562"/>
        <w:rPr>
          <w:color w:val="000000" w:themeColor="text1"/>
          <w14:textFill>
            <w14:solidFill>
              <w14:schemeClr w14:val="tx1"/>
            </w14:solidFill>
          </w14:textFill>
        </w:rPr>
      </w:pPr>
      <w:bookmarkStart w:id="424" w:name="_Toc23922"/>
      <w:r>
        <w:rPr>
          <w:rFonts w:hint="eastAsia"/>
          <w:color w:val="000000" w:themeColor="text1"/>
          <w14:textFill>
            <w14:solidFill>
              <w14:schemeClr w14:val="tx1"/>
            </w14:solidFill>
          </w14:textFill>
        </w:rPr>
        <w:t>安全管理对策措施及建议</w:t>
      </w:r>
      <w:bookmarkEnd w:id="424"/>
    </w:p>
    <w:p w14:paraId="43B476E9">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.健全安全管理制度及安全操作规程</w:t>
      </w:r>
    </w:p>
    <w:p w14:paraId="6932C2BD">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）健全安全经营责任制，明确各级各类人员安全职责。</w:t>
      </w:r>
    </w:p>
    <w:p w14:paraId="3B9B8923">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）健全各种安全管理制度，使加油站的安全管理工作有据可依，有章可循。</w:t>
      </w:r>
    </w:p>
    <w:p w14:paraId="798A1CD2">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）按照岗位设置情况具体制订各岗位安全操作规程，规范作业人员操作行为。</w:t>
      </w:r>
    </w:p>
    <w:p w14:paraId="5E7CA869">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）依据《云南省安全生产条例》完善安全生产责任制及配套的考核制度。</w:t>
      </w:r>
    </w:p>
    <w:p w14:paraId="7109DA0D">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.安全培训、教育和考核</w:t>
      </w:r>
    </w:p>
    <w:p w14:paraId="20C3A3EB">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）加油站主要负责人和安全生产管理人员必须具备相应的安全管理资格，并定期参加教育培训；</w:t>
      </w:r>
    </w:p>
    <w:p w14:paraId="3DEB14CD">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定期对从业人员进行安全教育培训，包括新进员工的教育培训，搞好新职工的安全教育与培训，建设一支注重安全、懂得安全、保证安全的经营职工队伍。落实员工的安全技术培训、岗位技能培训、新工人（含临时工）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三级安全教育</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，保证员工具备必要的安全生产知识，熟悉有关的安全经营规章制度和安全操作规程，掌握本岗位的安全操作技能。主要技术骨干和操作人员在同类企业进行培训，经严格考试后方可上岗；</w:t>
      </w:r>
    </w:p>
    <w:p w14:paraId="7A6C2EC1">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）制定职工安全教育年度培训计划；</w:t>
      </w:r>
    </w:p>
    <w:p w14:paraId="176EEED9">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）加油站人员宜全员进行消防培训。</w:t>
      </w:r>
    </w:p>
    <w:p w14:paraId="0CB6CCE7">
      <w:pPr>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.事故应急预案</w:t>
      </w:r>
    </w:p>
    <w:p w14:paraId="4D7E1583">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根据相关法律法规规定，有下列情形之一的，需重新修订预案：</w:t>
      </w:r>
    </w:p>
    <w:p w14:paraId="2858E83E">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（1）有关法律、法规、规章、标准、上位预案中的有关规定发生变化的；</w:t>
      </w:r>
    </w:p>
    <w:p w14:paraId="17832411">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（2）应急指挥机构及职责发生重大调整的；</w:t>
      </w:r>
    </w:p>
    <w:p w14:paraId="5A03C32C">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（3）面临的风险发生重大变化的；</w:t>
      </w:r>
    </w:p>
    <w:p w14:paraId="528363D0">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（4）重要应急资源发生重大变化的；</w:t>
      </w:r>
    </w:p>
    <w:p w14:paraId="7A478B3B">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（5）预案中的其他重要信息发生变化的；</w:t>
      </w:r>
    </w:p>
    <w:p w14:paraId="182A99CC">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（6）在突发事件实际应对和应急演练中发现需要作出重大调整的事项；</w:t>
      </w:r>
    </w:p>
    <w:p w14:paraId="1FA79AB0">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（7）应急预案编制单位认为应修订的其他情况。</w:t>
      </w:r>
    </w:p>
    <w:p w14:paraId="5E205443">
      <w:pPr>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.日常安全管理</w:t>
      </w:r>
    </w:p>
    <w:p w14:paraId="6A3DFB59">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）在雨季应及时抽排油罐区积水。</w:t>
      </w:r>
    </w:p>
    <w:p w14:paraId="52584B5D">
      <w:pPr>
        <w:rPr>
          <w:color w:val="000000" w:themeColor="text1"/>
          <w14:textFill>
            <w14:solidFill>
              <w14:schemeClr w14:val="tx1"/>
            </w14:solidFill>
          </w14:textFill>
        </w:rPr>
      </w:pPr>
      <w:r>
        <w:rPr>
          <w:rFonts w:hint="eastAsia"/>
          <w:color w:val="000000" w:themeColor="text1"/>
          <w14:textFill>
            <w14:solidFill>
              <w14:schemeClr w14:val="tx1"/>
            </w14:solidFill>
          </w14:textFill>
        </w:rPr>
        <w:t>（2）定期对加油机等设施检测，加强对储存设施、消防器材的维护、保养。</w:t>
      </w:r>
    </w:p>
    <w:p w14:paraId="58419D1C">
      <w:pPr>
        <w:rPr>
          <w:color w:val="000000" w:themeColor="text1"/>
          <w14:textFill>
            <w14:solidFill>
              <w14:schemeClr w14:val="tx1"/>
            </w14:solidFill>
          </w14:textFill>
        </w:rPr>
      </w:pPr>
      <w:r>
        <w:rPr>
          <w:rFonts w:hint="eastAsia"/>
          <w:color w:val="000000" w:themeColor="text1"/>
          <w14:textFill>
            <w14:solidFill>
              <w14:schemeClr w14:val="tx1"/>
            </w14:solidFill>
          </w14:textFill>
        </w:rPr>
        <w:t>（3）加强安全管理人员的培训，实行安全员跟班作业，进行安全生产教育和员工的岗位技能培训，提高员工的安全意识；当人员有变动后应对其相应的材料进行整理，把已不在此岗位的人名姓名进行相应变更。</w:t>
      </w:r>
    </w:p>
    <w:p w14:paraId="4D5775B8">
      <w:pPr>
        <w:rPr>
          <w:color w:val="000000" w:themeColor="text1"/>
          <w14:textFill>
            <w14:solidFill>
              <w14:schemeClr w14:val="tx1"/>
            </w14:solidFill>
          </w14:textFill>
        </w:rPr>
      </w:pPr>
      <w:r>
        <w:rPr>
          <w:rFonts w:hint="eastAsia"/>
          <w:color w:val="000000" w:themeColor="text1"/>
          <w14:textFill>
            <w14:solidFill>
              <w14:schemeClr w14:val="tx1"/>
            </w14:solidFill>
          </w14:textFill>
        </w:rPr>
        <w:t>（4）加强作业现场管理，杜绝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行为。</w:t>
      </w:r>
    </w:p>
    <w:p w14:paraId="6B44B0DF">
      <w:pPr>
        <w:rPr>
          <w:color w:val="000000" w:themeColor="text1"/>
          <w14:textFill>
            <w14:solidFill>
              <w14:schemeClr w14:val="tx1"/>
            </w14:solidFill>
          </w14:textFill>
        </w:rPr>
      </w:pPr>
      <w:r>
        <w:rPr>
          <w:rFonts w:hint="eastAsia"/>
          <w:color w:val="000000" w:themeColor="text1"/>
          <w14:textFill>
            <w14:solidFill>
              <w14:schemeClr w14:val="tx1"/>
            </w14:solidFill>
          </w14:textFill>
        </w:rPr>
        <w:t>（5）严格按照操作规程进行清罐作业。</w:t>
      </w:r>
    </w:p>
    <w:p w14:paraId="7096F33A">
      <w:pPr>
        <w:rPr>
          <w:color w:val="000000" w:themeColor="text1"/>
          <w14:textFill>
            <w14:solidFill>
              <w14:schemeClr w14:val="tx1"/>
            </w14:solidFill>
          </w14:textFill>
        </w:rPr>
      </w:pPr>
      <w:r>
        <w:rPr>
          <w:rFonts w:hint="eastAsia"/>
          <w:color w:val="000000" w:themeColor="text1"/>
          <w14:textFill>
            <w14:solidFill>
              <w14:schemeClr w14:val="tx1"/>
            </w14:solidFill>
          </w14:textFill>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14:paraId="4DCA1C03">
      <w:pPr>
        <w:rPr>
          <w:color w:val="000000" w:themeColor="text1"/>
          <w14:textFill>
            <w14:solidFill>
              <w14:schemeClr w14:val="tx1"/>
            </w14:solidFill>
          </w14:textFill>
        </w:rPr>
      </w:pPr>
      <w:r>
        <w:rPr>
          <w:rFonts w:hint="eastAsia"/>
          <w:color w:val="000000" w:themeColor="text1"/>
          <w14:textFill>
            <w14:solidFill>
              <w14:schemeClr w14:val="tx1"/>
            </w14:solidFill>
          </w14:textFill>
        </w:rPr>
        <w:t>（7）加强对收、储、发油设施的安全检查和维护，确保设施完好。对消防设施和器材要定期检查，以免失效。对防雷设施要按照规定，定期请检测中心检测。</w:t>
      </w:r>
    </w:p>
    <w:p w14:paraId="5F17CB3A">
      <w:pPr>
        <w:rPr>
          <w:color w:val="000000" w:themeColor="text1"/>
          <w14:textFill>
            <w14:solidFill>
              <w14:schemeClr w14:val="tx1"/>
            </w14:solidFill>
          </w14:textFill>
        </w:rPr>
      </w:pPr>
      <w:r>
        <w:rPr>
          <w:rFonts w:hint="eastAsia"/>
          <w:color w:val="000000" w:themeColor="text1"/>
          <w14:textFill>
            <w14:solidFill>
              <w14:schemeClr w14:val="tx1"/>
            </w14:solidFill>
          </w14:textFill>
        </w:rPr>
        <w:t>（8）结合工作实际，不断总结、完善各项安全管理规章制度和规范，适时修订，以确保安全管理质量和水平的提高。</w:t>
      </w:r>
    </w:p>
    <w:p w14:paraId="43736726">
      <w:pPr>
        <w:rPr>
          <w:color w:val="000000" w:themeColor="text1"/>
          <w14:textFill>
            <w14:solidFill>
              <w14:schemeClr w14:val="tx1"/>
            </w14:solidFill>
          </w14:textFill>
        </w:rPr>
      </w:pPr>
      <w:r>
        <w:rPr>
          <w:rFonts w:hint="eastAsia"/>
          <w:color w:val="000000" w:themeColor="text1"/>
          <w14:textFill>
            <w14:solidFill>
              <w14:schemeClr w14:val="tx1"/>
            </w14:solidFill>
          </w14:textFill>
        </w:rPr>
        <w:t>（9）加强站区地面油污的清洁工作。</w:t>
      </w:r>
    </w:p>
    <w:p w14:paraId="55E60312">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）严禁向塑料桶内加油，严禁加油员之外的其他外来人员进行加油、卸油操作。</w:t>
      </w:r>
    </w:p>
    <w:p w14:paraId="0F2A4DD9">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）汽油属于特别管控危险化学品，应按照特别管控危险化学品的相关要求加强汽油储存、销售管理。</w:t>
      </w:r>
    </w:p>
    <w:p w14:paraId="1030DC4A">
      <w:pPr>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.建立安全专项资金</w:t>
      </w:r>
    </w:p>
    <w:p w14:paraId="58ABB5D3">
      <w:pPr>
        <w:rPr>
          <w:color w:val="000000" w:themeColor="text1"/>
          <w14:textFill>
            <w14:solidFill>
              <w14:schemeClr w14:val="tx1"/>
            </w14:solidFill>
          </w14:textFill>
        </w:rPr>
      </w:pPr>
      <w:r>
        <w:rPr>
          <w:rFonts w:hint="eastAsia"/>
          <w:color w:val="000000" w:themeColor="text1"/>
          <w14:textFill>
            <w14:solidFill>
              <w14:schemeClr w14:val="tx1"/>
            </w14:solidFill>
          </w14:textFill>
        </w:rPr>
        <w:t>将安全投入资金单独列项，建立安全专项资金，从根本上保证安全资金的来源。</w:t>
      </w:r>
    </w:p>
    <w:p w14:paraId="4DC0F569">
      <w:pPr>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.购买保险</w:t>
      </w:r>
    </w:p>
    <w:p w14:paraId="0715C582">
      <w:pPr>
        <w:rPr>
          <w:color w:val="000000" w:themeColor="text1"/>
          <w14:textFill>
            <w14:solidFill>
              <w14:schemeClr w14:val="tx1"/>
            </w14:solidFill>
          </w14:textFill>
        </w:rPr>
      </w:pPr>
      <w:r>
        <w:rPr>
          <w:rFonts w:hint="eastAsia"/>
          <w:color w:val="000000" w:themeColor="text1"/>
          <w14:textFill>
            <w14:solidFill>
              <w14:schemeClr w14:val="tx1"/>
            </w14:solidFill>
          </w14:textFill>
        </w:rPr>
        <w:t>为从业人员购买工伤保险，为从业人员办理意外伤害险。</w:t>
      </w:r>
    </w:p>
    <w:p w14:paraId="1883F4CB">
      <w:pPr>
        <w:pStyle w:val="4"/>
        <w:ind w:firstLine="562"/>
        <w:rPr>
          <w:color w:val="000000" w:themeColor="text1"/>
          <w14:textFill>
            <w14:solidFill>
              <w14:schemeClr w14:val="tx1"/>
            </w14:solidFill>
          </w14:textFill>
        </w:rPr>
      </w:pPr>
      <w:bookmarkStart w:id="425" w:name="_Toc14836"/>
      <w:r>
        <w:rPr>
          <w:rFonts w:hint="eastAsia"/>
          <w:color w:val="000000" w:themeColor="text1"/>
          <w14:textFill>
            <w14:solidFill>
              <w14:schemeClr w14:val="tx1"/>
            </w14:solidFill>
          </w14:textFill>
        </w:rPr>
        <w:t>加油站设备设施安全对策措施和建议</w:t>
      </w:r>
      <w:bookmarkEnd w:id="425"/>
    </w:p>
    <w:p w14:paraId="38DF2F24">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加油站定期维护紧急切断系统，紧急切断系统应在加油现场工作人员容易接近的位置或在控制室、值班室内设置启动开关。紧急切断系统应只能手动复位。</w:t>
      </w:r>
    </w:p>
    <w:p w14:paraId="3D24F8CE">
      <w:pPr>
        <w:pStyle w:val="4"/>
        <w:ind w:firstLine="562"/>
        <w:rPr>
          <w:color w:val="000000" w:themeColor="text1"/>
          <w14:textFill>
            <w14:solidFill>
              <w14:schemeClr w14:val="tx1"/>
            </w14:solidFill>
          </w14:textFill>
        </w:rPr>
      </w:pPr>
      <w:bookmarkStart w:id="426" w:name="_Toc22747"/>
      <w:r>
        <w:rPr>
          <w:rFonts w:hint="eastAsia"/>
          <w:color w:val="000000" w:themeColor="text1"/>
          <w14:textFill>
            <w14:solidFill>
              <w14:schemeClr w14:val="tx1"/>
            </w14:solidFill>
          </w14:textFill>
        </w:rPr>
        <w:t>重点监管及特别管控危险化学品对策措施和建议</w:t>
      </w:r>
      <w:bookmarkEnd w:id="426"/>
    </w:p>
    <w:p w14:paraId="2A653323">
      <w:pPr>
        <w:rPr>
          <w:color w:val="000000" w:themeColor="text1"/>
          <w14:textFill>
            <w14:solidFill>
              <w14:schemeClr w14:val="tx1"/>
            </w14:solidFill>
          </w14:textFill>
        </w:rPr>
      </w:pPr>
      <w:r>
        <w:rPr>
          <w:rFonts w:hint="eastAsia"/>
          <w:color w:val="000000" w:themeColor="text1"/>
          <w14:textFill>
            <w14:solidFill>
              <w14:schemeClr w14:val="tx1"/>
            </w14:solidFill>
          </w14:textFill>
        </w:rPr>
        <w:t>1.一般要求</w:t>
      </w:r>
    </w:p>
    <w:p w14:paraId="211547D8">
      <w:pPr>
        <w:rPr>
          <w:color w:val="000000" w:themeColor="text1"/>
          <w14:textFill>
            <w14:solidFill>
              <w14:schemeClr w14:val="tx1"/>
            </w14:solidFill>
          </w14:textFill>
        </w:rPr>
      </w:pPr>
      <w:r>
        <w:rPr>
          <w:color w:val="000000" w:themeColor="text1"/>
          <w14:textFill>
            <w14:solidFill>
              <w14:schemeClr w14:val="tx1"/>
            </w14:solidFill>
          </w14:textFill>
        </w:rPr>
        <w:t>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熟练掌握操作技能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具备应急处置知识。</w:t>
      </w:r>
    </w:p>
    <w:p w14:paraId="605161FF">
      <w:pPr>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防止泄漏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工作场所全面通风。远离火种、热源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工作场所严禁吸烟。配备易燃气体泄漏监测报警仪</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使用防爆型通风系统和设备</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配备两套以上重型防护服。操作人员穿防静电工作服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戴耐油橡胶手套。</w:t>
      </w:r>
    </w:p>
    <w:p w14:paraId="641601D9">
      <w:pPr>
        <w:rPr>
          <w:color w:val="000000" w:themeColor="text1"/>
          <w14:textFill>
            <w14:solidFill>
              <w14:schemeClr w14:val="tx1"/>
            </w14:solidFill>
          </w14:textFill>
        </w:rPr>
      </w:pPr>
      <w:r>
        <w:rPr>
          <w:color w:val="000000" w:themeColor="text1"/>
          <w14:textFill>
            <w14:solidFill>
              <w14:schemeClr w14:val="tx1"/>
            </w14:solidFill>
          </w14:textFill>
        </w:rPr>
        <w:t>储存区域设置安全警示标志。灌装时控制流速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w:t>
      </w:r>
      <w:r>
        <w:rPr>
          <w:rFonts w:hint="eastAsia"/>
          <w:color w:val="000000" w:themeColor="text1"/>
          <w14:textFill>
            <w14:solidFill>
              <w14:schemeClr w14:val="tx1"/>
            </w14:solidFill>
          </w14:textFill>
        </w:rPr>
        <w:t>良好的</w:t>
      </w:r>
      <w:r>
        <w:rPr>
          <w:color w:val="000000" w:themeColor="text1"/>
          <w14:textFill>
            <w14:solidFill>
              <w14:schemeClr w14:val="tx1"/>
            </w14:solidFill>
          </w14:textFill>
        </w:rPr>
        <w:t>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w:t>
      </w:r>
    </w:p>
    <w:p w14:paraId="6815F202">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操作安全</w:t>
      </w:r>
    </w:p>
    <w:p w14:paraId="17B1DFA9">
      <w:pPr>
        <w:rPr>
          <w:color w:val="000000" w:themeColor="text1"/>
          <w14:textFill>
            <w14:solidFill>
              <w14:schemeClr w14:val="tx1"/>
            </w14:solidFill>
          </w14:textFill>
        </w:rPr>
      </w:pPr>
      <w:r>
        <w:rPr>
          <w:color w:val="000000" w:themeColor="text1"/>
          <w14:textFill>
            <w14:solidFill>
              <w14:schemeClr w14:val="tx1"/>
            </w14:solidFill>
          </w14:textFill>
        </w:rPr>
        <w:t>（1）油罐</w:t>
      </w:r>
      <w:r>
        <w:rPr>
          <w:rFonts w:hint="eastAsia"/>
          <w:color w:val="000000" w:themeColor="text1"/>
          <w14:textFill>
            <w14:solidFill>
              <w14:schemeClr w14:val="tx1"/>
            </w14:solidFill>
          </w14:textFill>
        </w:rPr>
        <w:t>及卸油点</w:t>
      </w:r>
      <w:r>
        <w:rPr>
          <w:color w:val="000000" w:themeColor="text1"/>
          <w14:textFill>
            <w14:solidFill>
              <w14:schemeClr w14:val="tx1"/>
            </w14:solidFill>
          </w14:textFill>
        </w:rPr>
        <w:t>附近严禁烟火。禁止将汽油与其他易燃物放在一起。</w:t>
      </w:r>
    </w:p>
    <w:p w14:paraId="180C7685">
      <w:pPr>
        <w:rPr>
          <w:color w:val="000000" w:themeColor="text1"/>
          <w14:textFill>
            <w14:solidFill>
              <w14:schemeClr w14:val="tx1"/>
            </w14:solidFill>
          </w14:textFill>
        </w:rPr>
      </w:pPr>
      <w:r>
        <w:rPr>
          <w:color w:val="000000" w:themeColor="text1"/>
          <w14:textFill>
            <w14:solidFill>
              <w14:schemeClr w14:val="tx1"/>
            </w14:solidFill>
          </w14:textFill>
        </w:rPr>
        <w:t>（2）往油罐或油罐汽车装油时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输油管要插入油面以下或接近罐的底部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以减少油料的冲击和与空气的摩擦。不</w:t>
      </w:r>
      <w:r>
        <w:rPr>
          <w:rFonts w:hint="eastAsia"/>
          <w:color w:val="000000" w:themeColor="text1"/>
          <w14:textFill>
            <w14:solidFill>
              <w14:schemeClr w14:val="tx1"/>
            </w14:solidFill>
          </w14:textFill>
        </w:rPr>
        <w:t>能</w:t>
      </w:r>
      <w:r>
        <w:rPr>
          <w:color w:val="000000" w:themeColor="text1"/>
          <w14:textFill>
            <w14:solidFill>
              <w14:schemeClr w14:val="tx1"/>
            </w14:solidFill>
          </w14:textFill>
        </w:rPr>
        <w:t>用铁器工具敲击汽油桶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特别是空汽油桶更危险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桶内充满汽油与空气的混合气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而且经常处于爆炸极限之内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一遇明火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就能引起爆炸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14:paraId="4F17D5BE">
      <w:pPr>
        <w:rPr>
          <w:color w:val="000000" w:themeColor="text1"/>
          <w14:textFill>
            <w14:solidFill>
              <w14:schemeClr w14:val="tx1"/>
            </w14:solidFill>
          </w14:textFill>
        </w:rPr>
      </w:pPr>
      <w:r>
        <w:rPr>
          <w:color w:val="000000" w:themeColor="text1"/>
          <w14:textFill>
            <w14:solidFill>
              <w14:schemeClr w14:val="tx1"/>
            </w14:solidFill>
          </w14:textFill>
        </w:rPr>
        <w:t>（3）存汽油地点附近严禁检修车辆。</w:t>
      </w:r>
    </w:p>
    <w:p w14:paraId="3E99556A">
      <w:pPr>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）注意操作场所的通风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使油蒸气容易逸散。</w:t>
      </w:r>
    </w:p>
    <w:p w14:paraId="79164976">
      <w:pPr>
        <w:rPr>
          <w:color w:val="000000" w:themeColor="text1"/>
          <w14:textFill>
            <w14:solidFill>
              <w14:schemeClr w14:val="tx1"/>
            </w14:solidFill>
          </w14:textFill>
        </w:rPr>
      </w:pPr>
      <w:r>
        <w:rPr>
          <w:rFonts w:hint="eastAsia"/>
          <w:color w:val="000000" w:themeColor="text1"/>
          <w14:textFill>
            <w14:solidFill>
              <w14:schemeClr w14:val="tx1"/>
            </w14:solidFill>
          </w14:textFill>
        </w:rPr>
        <w:t>3.储存安全</w:t>
      </w:r>
    </w:p>
    <w:p w14:paraId="63262A78">
      <w:pPr>
        <w:rPr>
          <w:color w:val="000000" w:themeColor="text1"/>
          <w14:textFill>
            <w14:solidFill>
              <w14:schemeClr w14:val="tx1"/>
            </w14:solidFill>
          </w14:textFill>
        </w:rPr>
      </w:pPr>
      <w:r>
        <w:rPr>
          <w:color w:val="000000" w:themeColor="text1"/>
          <w14:textFill>
            <w14:solidFill>
              <w14:schemeClr w14:val="tx1"/>
            </w14:solidFill>
          </w14:textFill>
        </w:rPr>
        <w:t>采用防爆型照明、通风设施。禁止使用易产生火花的机械设备和工具。储存区应备有泄漏应急处理设备和合适的收容材料。罐储时要有防火防爆</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技术措施。</w:t>
      </w:r>
      <w:bookmarkStart w:id="427" w:name="_Toc195176776"/>
      <w:bookmarkStart w:id="428" w:name="_Toc258574859"/>
    </w:p>
    <w:p w14:paraId="5B699257">
      <w:pPr>
        <w:rPr>
          <w:color w:val="000000" w:themeColor="text1"/>
          <w14:textFill>
            <w14:solidFill>
              <w14:schemeClr w14:val="tx1"/>
            </w14:solidFill>
          </w14:textFill>
        </w:rPr>
      </w:pPr>
      <w:r>
        <w:rPr>
          <w:rFonts w:hint="eastAsia"/>
          <w:color w:val="000000" w:themeColor="text1"/>
          <w14:textFill>
            <w14:solidFill>
              <w14:schemeClr w14:val="tx1"/>
            </w14:solidFill>
          </w14:textFill>
        </w:rPr>
        <w:t>4.运输安全</w:t>
      </w:r>
    </w:p>
    <w:p w14:paraId="4773AA6C">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运输车辆应有危险货物运输标志、安装具有行驶记录功能的卫星定位装置。未经公安机关批准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运输车辆不得进入限制通行的区域。</w:t>
      </w:r>
    </w:p>
    <w:p w14:paraId="1DA9961F">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汽油装于专用的槽车内运输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槽车应定期清理。运送汽油的油罐汽车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必须有导静电拖线。对有每分钟0.5</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以上的快速装卸油设备的油罐汽车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在装卸油时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除了保证铁链接地外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更要将车上油罐的接地线插入地下并不得浅于100mm。运输时运输车辆应配备相应品种和数量的消防器材。装运该物品的车辆排气管必须配备阻火装置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禁止使用易产生火花的机械设备和工具装卸。汽车槽罐内可设孔隔板以减少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w:t>
      </w:r>
    </w:p>
    <w:p w14:paraId="79AF906B">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夏季最好早晚运输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、防雨淋、防高温。中途停留时应远离火种、热源、高温区及人口密集地段。</w:t>
      </w:r>
    </w:p>
    <w:p w14:paraId="6C19FAFE">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汽油应急处置原则</w:t>
      </w:r>
    </w:p>
    <w:p w14:paraId="2D8C9414">
      <w:pPr>
        <w:rPr>
          <w:color w:val="000000" w:themeColor="text1"/>
          <w14:textFill>
            <w14:solidFill>
              <w14:schemeClr w14:val="tx1"/>
            </w14:solidFill>
          </w14:textFill>
        </w:rPr>
      </w:pPr>
      <w:r>
        <w:rPr>
          <w:rFonts w:hint="eastAsia"/>
          <w:color w:val="000000" w:themeColor="text1"/>
          <w14:textFill>
            <w14:solidFill>
              <w14:schemeClr w14:val="tx1"/>
            </w14:solidFill>
          </w14:textFill>
        </w:rPr>
        <w:t>【急救措施】</w:t>
      </w:r>
    </w:p>
    <w:p w14:paraId="5898235E">
      <w:pPr>
        <w:rPr>
          <w:color w:val="000000" w:themeColor="text1"/>
          <w14:textFill>
            <w14:solidFill>
              <w14:schemeClr w14:val="tx1"/>
            </w14:solidFill>
          </w14:textFill>
        </w:rPr>
      </w:pPr>
      <w:r>
        <w:rPr>
          <w:color w:val="000000" w:themeColor="text1"/>
          <w14:textFill>
            <w14:solidFill>
              <w14:schemeClr w14:val="tx1"/>
            </w14:solidFill>
          </w14:textFill>
        </w:rPr>
        <w:t>吸入：迅速脱离现场至空气新鲜处。保持呼吸道通畅。如呼吸困难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p w14:paraId="106BD8A2">
      <w:pPr>
        <w:rPr>
          <w:color w:val="000000" w:themeColor="text1"/>
          <w14:textFill>
            <w14:solidFill>
              <w14:schemeClr w14:val="tx1"/>
            </w14:solidFill>
          </w14:textFill>
        </w:rPr>
      </w:pPr>
      <w:r>
        <w:rPr>
          <w:color w:val="000000" w:themeColor="text1"/>
          <w14:textFill>
            <w14:solidFill>
              <w14:schemeClr w14:val="tx1"/>
            </w14:solidFill>
          </w14:textFill>
        </w:rPr>
        <w:t>食入：给饮牛奶或用植物油洗胃和灌肠。就医。</w:t>
      </w:r>
    </w:p>
    <w:p w14:paraId="3CD46C3A">
      <w:pPr>
        <w:rPr>
          <w:color w:val="000000" w:themeColor="text1"/>
          <w14:textFill>
            <w14:solidFill>
              <w14:schemeClr w14:val="tx1"/>
            </w14:solidFill>
          </w14:textFill>
        </w:rPr>
      </w:pPr>
      <w:r>
        <w:rPr>
          <w:color w:val="000000" w:themeColor="text1"/>
          <w14:textFill>
            <w14:solidFill>
              <w14:schemeClr w14:val="tx1"/>
            </w14:solidFill>
          </w14:textFill>
        </w:rPr>
        <w:t>皮肤接触：立即脱去污染的衣着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p w14:paraId="0329FF13">
      <w:pPr>
        <w:rPr>
          <w:color w:val="000000" w:themeColor="text1"/>
          <w14:textFill>
            <w14:solidFill>
              <w14:schemeClr w14:val="tx1"/>
            </w14:solidFill>
          </w14:textFill>
        </w:rPr>
      </w:pPr>
      <w:r>
        <w:rPr>
          <w:color w:val="000000" w:themeColor="text1"/>
          <w14:textFill>
            <w14:solidFill>
              <w14:schemeClr w14:val="tx1"/>
            </w14:solidFill>
          </w14:textFill>
        </w:rPr>
        <w:t>眼睛接触：立即提起眼睑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w:t>
      </w:r>
      <w:r>
        <w:rPr>
          <w:rFonts w:hint="eastAsia"/>
          <w:color w:val="000000" w:themeColor="text1"/>
          <w14:textFill>
            <w14:solidFill>
              <w14:schemeClr w14:val="tx1"/>
            </w14:solidFill>
          </w14:textFill>
        </w:rPr>
        <w:t>min</w:t>
      </w:r>
      <w:r>
        <w:rPr>
          <w:color w:val="000000" w:themeColor="text1"/>
          <w14:textFill>
            <w14:solidFill>
              <w14:schemeClr w14:val="tx1"/>
            </w14:solidFill>
          </w14:textFill>
        </w:rPr>
        <w:t>。就医。</w:t>
      </w:r>
    </w:p>
    <w:p w14:paraId="3DB1E99B">
      <w:pPr>
        <w:rPr>
          <w:color w:val="000000" w:themeColor="text1"/>
          <w14:textFill>
            <w14:solidFill>
              <w14:schemeClr w14:val="tx1"/>
            </w14:solidFill>
          </w14:textFill>
        </w:rPr>
      </w:pPr>
      <w:r>
        <w:rPr>
          <w:rFonts w:hint="eastAsia"/>
          <w:color w:val="000000" w:themeColor="text1"/>
          <w14:textFill>
            <w14:solidFill>
              <w14:schemeClr w14:val="tx1"/>
            </w14:solidFill>
          </w14:textFill>
        </w:rPr>
        <w:t>【灭火方法】</w:t>
      </w:r>
    </w:p>
    <w:p w14:paraId="098E4967">
      <w:pPr>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尽可能将容器从火场移至空旷处。</w:t>
      </w:r>
    </w:p>
    <w:p w14:paraId="6B6BD6E5">
      <w:pPr>
        <w:rPr>
          <w:color w:val="000000" w:themeColor="text1"/>
          <w14:textFill>
            <w14:solidFill>
              <w14:schemeClr w14:val="tx1"/>
            </w14:solidFill>
          </w14:textFill>
        </w:rPr>
      </w:pPr>
      <w:r>
        <w:rPr>
          <w:color w:val="000000" w:themeColor="text1"/>
          <w14:textFill>
            <w14:solidFill>
              <w14:schemeClr w14:val="tx1"/>
            </w14:solidFill>
          </w14:textFill>
        </w:rPr>
        <w:t>灭火剂：泡沫、干粉、二氧化碳。用水灭火无效。</w:t>
      </w:r>
    </w:p>
    <w:p w14:paraId="57DFA7C9">
      <w:pPr>
        <w:rPr>
          <w:color w:val="000000" w:themeColor="text1"/>
          <w14:textFill>
            <w14:solidFill>
              <w14:schemeClr w14:val="tx1"/>
            </w14:solidFill>
          </w14:textFill>
        </w:rPr>
      </w:pPr>
      <w:r>
        <w:rPr>
          <w:rFonts w:hint="eastAsia"/>
          <w:color w:val="000000" w:themeColor="text1"/>
          <w14:textFill>
            <w14:solidFill>
              <w14:schemeClr w14:val="tx1"/>
            </w14:solidFill>
          </w14:textFill>
        </w:rPr>
        <w:t>【泄漏应急处置】</w:t>
      </w:r>
    </w:p>
    <w:p w14:paraId="71A58BFC">
      <w:pPr>
        <w:rPr>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r>
        <w:rPr>
          <w:color w:val="000000" w:themeColor="text1"/>
          <w14:textFill>
            <w14:solidFill>
              <w14:schemeClr w14:val="tx1"/>
            </w14:solidFill>
          </w14:textFill>
        </w:rPr>
        <w:t>消除所有点火源。根据液体流动和蒸气扩散的影响区域划定警戒区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无关人员从侧风、上风向撤离至安全区。建议应急处理人员戴正压自给式空气呼吸器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穿防毒、防静电服。作业时使用的所有设备应接地。禁止接触或跨越泄漏物。尽可能切断泄漏源。防止泄漏物进入水体、下水道、地下室或密闭性空间。小量泄漏：用</w:t>
      </w:r>
      <w:r>
        <w:rPr>
          <w:rFonts w:hint="eastAsia"/>
          <w:color w:val="000000" w:themeColor="text1"/>
          <w14:textFill>
            <w14:solidFill>
              <w14:schemeClr w14:val="tx1"/>
            </w14:solidFill>
          </w14:textFill>
        </w:rPr>
        <w:t>沙土</w:t>
      </w:r>
      <w:r>
        <w:rPr>
          <w:color w:val="000000" w:themeColor="text1"/>
          <w14:textFill>
            <w14:solidFill>
              <w14:schemeClr w14:val="tx1"/>
            </w14:solidFill>
          </w14:textFill>
        </w:rPr>
        <w:t>或其它不燃材料吸收。使用洁净的无火花工具收集吸收材料。大量泄漏：构筑围堤或挖坑收容。用泡沫覆盖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减少蒸发。喷水雾能减少蒸发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但不能降低泄漏物在受限制空间内的易燃性。用防爆泵转移至槽车或专用收集器内。</w:t>
      </w:r>
    </w:p>
    <w:p w14:paraId="5B32C0B7">
      <w:pPr>
        <w:pStyle w:val="2"/>
        <w:spacing w:before="193" w:after="193"/>
        <w:rPr>
          <w:color w:val="000000" w:themeColor="text1"/>
          <w14:textFill>
            <w14:solidFill>
              <w14:schemeClr w14:val="tx1"/>
            </w14:solidFill>
          </w14:textFill>
        </w:rPr>
      </w:pPr>
      <w:bookmarkStart w:id="429" w:name="_Toc3795"/>
      <w:r>
        <w:rPr>
          <w:rFonts w:hint="eastAsia"/>
          <w:color w:val="000000" w:themeColor="text1"/>
          <w14:textFill>
            <w14:solidFill>
              <w14:schemeClr w14:val="tx1"/>
            </w14:solidFill>
          </w14:textFill>
        </w:rPr>
        <w:t>评价结论</w:t>
      </w:r>
      <w:bookmarkEnd w:id="427"/>
      <w:bookmarkEnd w:id="428"/>
      <w:bookmarkEnd w:id="429"/>
    </w:p>
    <w:p w14:paraId="34995E37">
      <w:pPr>
        <w:pStyle w:val="3"/>
        <w:rPr>
          <w:color w:val="000000" w:themeColor="text1"/>
          <w14:textFill>
            <w14:solidFill>
              <w14:schemeClr w14:val="tx1"/>
            </w14:solidFill>
          </w14:textFill>
        </w:rPr>
      </w:pPr>
      <w:bookmarkStart w:id="430" w:name="_Toc25872"/>
      <w:bookmarkStart w:id="431" w:name="_Toc258574860"/>
      <w:bookmarkStart w:id="432" w:name="_Toc195176777"/>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存在的危险、有害因素及其危险危害程度</w:t>
      </w:r>
      <w:bookmarkEnd w:id="430"/>
      <w:bookmarkEnd w:id="431"/>
    </w:p>
    <w:p w14:paraId="643A96A0">
      <w:pPr>
        <w:pStyle w:val="45"/>
        <w:ind w:firstLine="560"/>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14:paraId="2413547F">
      <w:pPr>
        <w:pStyle w:val="3"/>
        <w:rPr>
          <w:color w:val="000000" w:themeColor="text1"/>
          <w14:textFill>
            <w14:solidFill>
              <w14:schemeClr w14:val="tx1"/>
            </w14:solidFill>
          </w14:textFill>
        </w:rPr>
      </w:pPr>
      <w:bookmarkStart w:id="433" w:name="_Toc258574862"/>
      <w:bookmarkStart w:id="434" w:name="_Toc10587"/>
      <w:r>
        <w:rPr>
          <w:rFonts w:hint="eastAsia"/>
          <w:color w:val="000000" w:themeColor="text1"/>
          <w14:textFill>
            <w14:solidFill>
              <w14:schemeClr w14:val="tx1"/>
            </w14:solidFill>
          </w14:textFill>
        </w:rPr>
        <w:t>各单元评价</w:t>
      </w:r>
      <w:bookmarkEnd w:id="433"/>
      <w:r>
        <w:rPr>
          <w:rFonts w:hint="eastAsia"/>
          <w:color w:val="000000" w:themeColor="text1"/>
          <w14:textFill>
            <w14:solidFill>
              <w14:schemeClr w14:val="tx1"/>
            </w14:solidFill>
          </w14:textFill>
        </w:rPr>
        <w:t>综述</w:t>
      </w:r>
      <w:bookmarkEnd w:id="434"/>
    </w:p>
    <w:p w14:paraId="576CCF70">
      <w:pPr>
        <w:rPr>
          <w:color w:val="000000" w:themeColor="text1"/>
          <w14:textFill>
            <w14:solidFill>
              <w14:schemeClr w14:val="tx1"/>
            </w14:solidFill>
          </w14:textFill>
        </w:rPr>
      </w:pPr>
      <w:r>
        <w:rPr>
          <w:color w:val="000000" w:themeColor="text1"/>
          <w14:textFill>
            <w14:solidFill>
              <w14:schemeClr w14:val="tx1"/>
            </w14:solidFill>
          </w14:textFill>
        </w:rPr>
        <w:t>根据上述安全评价结果和国家现行有关安全生产法律、法规和部门规章及标准的规定和要求</w:t>
      </w:r>
      <w:r>
        <w:rPr>
          <w:rFonts w:hint="eastAsia"/>
          <w:color w:val="000000" w:themeColor="text1"/>
          <w14:textFill>
            <w14:solidFill>
              <w14:schemeClr w14:val="tx1"/>
            </w14:solidFill>
          </w14:textFill>
        </w:rPr>
        <w:t>，对</w:t>
      </w: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形成如下评价结论：</w:t>
      </w:r>
    </w:p>
    <w:p w14:paraId="3FF2C4B3">
      <w:pPr>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外部安全条件单元：该加油站周边环境对加油站的影响在可接受范围内，所在地的自然条件对加油站运行的影响在可接受和可控制的范围内。</w:t>
      </w:r>
    </w:p>
    <w:p w14:paraId="551DC23A">
      <w:pPr>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14:paraId="1B6C6E20">
      <w:pPr>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工艺及设施单元：加油站采用的技术为国内成熟的加油工艺，油罐采用埋地设置，采用潜油泵供油工艺，设置有汽油加油油气回收系统和卸油油气回收系统。设备的安全、可靠性均能满足加油站的正常经营要求。</w:t>
      </w:r>
    </w:p>
    <w:p w14:paraId="54FC3E5A">
      <w:pPr>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公用工程单元：该加油站采用外接电源供电，加油站的供排水、供配电均能够满足加油站正常经营的要求。</w:t>
      </w:r>
    </w:p>
    <w:p w14:paraId="553A3FFB">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安全设施单元：该加油站设置的安全设施符合《汽车加油加气加氢站技术标准》（GB50156-2021）的要求。</w:t>
      </w:r>
    </w:p>
    <w:p w14:paraId="495C63FB">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安全管理单元：该加油站建立了相应的安全管理组织，制定了相应的安全管理规章制度。应急预案已备案，配备的救援器材满足加油站应急救援的需要。</w:t>
      </w:r>
    </w:p>
    <w:p w14:paraId="6957912C">
      <w:pPr>
        <w:rPr>
          <w:color w:val="000000" w:themeColor="text1"/>
          <w14:textFill>
            <w14:solidFill>
              <w14:schemeClr w14:val="tx1"/>
            </w14:solidFill>
          </w14:textFill>
        </w:rPr>
      </w:pPr>
      <w:r>
        <w:rPr>
          <w:rFonts w:hint="eastAsia"/>
          <w:color w:val="000000" w:themeColor="text1"/>
          <w14:textFill>
            <w14:solidFill>
              <w14:schemeClr w14:val="tx1"/>
            </w14:solidFill>
          </w14:textFill>
        </w:rPr>
        <w:t>重大事故隐患分析评价单元：通过检查分析，该加油站现阶段无重大生产安全事故隐患。</w:t>
      </w:r>
    </w:p>
    <w:p w14:paraId="7A82D5E4">
      <w:pPr>
        <w:pStyle w:val="3"/>
        <w:rPr>
          <w:color w:val="000000" w:themeColor="text1"/>
          <w14:textFill>
            <w14:solidFill>
              <w14:schemeClr w14:val="tx1"/>
            </w14:solidFill>
          </w14:textFill>
        </w:rPr>
      </w:pPr>
      <w:bookmarkStart w:id="435" w:name="_Toc258574861"/>
      <w:bookmarkStart w:id="436" w:name="_Toc14632"/>
      <w:bookmarkStart w:id="437" w:name="_Toc258574863"/>
      <w:r>
        <w:rPr>
          <w:rFonts w:hint="eastAsia"/>
          <w:color w:val="000000" w:themeColor="text1"/>
          <w14:textFill>
            <w14:solidFill>
              <w14:schemeClr w14:val="tx1"/>
            </w14:solidFill>
          </w14:textFill>
        </w:rPr>
        <w:t>应重视的危险有害因素</w:t>
      </w:r>
      <w:bookmarkEnd w:id="435"/>
      <w:bookmarkEnd w:id="436"/>
    </w:p>
    <w:p w14:paraId="75397E11">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文山市星运能源有限公司</w:t>
      </w:r>
      <w:r>
        <w:rPr>
          <w:rFonts w:hint="eastAsia"/>
          <w:color w:val="000000" w:themeColor="text1"/>
          <w14:textFill>
            <w14:solidFill>
              <w14:schemeClr w14:val="tx1"/>
            </w14:solidFill>
          </w14:textFill>
        </w:rPr>
        <w:t>应重视的危险、有害因素是火灾、爆炸。该加油站经营的汽油为国家首批重点监管及特别管控的危险化学品，应按要求采取相应的安全对策措施，确保油品经营的安全。</w:t>
      </w:r>
    </w:p>
    <w:p w14:paraId="230EA8CC">
      <w:pPr>
        <w:pStyle w:val="3"/>
        <w:rPr>
          <w:color w:val="000000" w:themeColor="text1"/>
          <w14:textFill>
            <w14:solidFill>
              <w14:schemeClr w14:val="tx1"/>
            </w14:solidFill>
          </w14:textFill>
        </w:rPr>
      </w:pPr>
      <w:bookmarkStart w:id="438" w:name="_Toc7847"/>
      <w:r>
        <w:rPr>
          <w:rFonts w:hint="eastAsia"/>
          <w:color w:val="000000" w:themeColor="text1"/>
          <w14:textFill>
            <w14:solidFill>
              <w14:schemeClr w14:val="tx1"/>
            </w14:solidFill>
          </w14:textFill>
        </w:rPr>
        <w:t>应重视的安全对策措施及建议</w:t>
      </w:r>
      <w:bookmarkEnd w:id="438"/>
    </w:p>
    <w:p w14:paraId="099F037D">
      <w:pPr>
        <w:rPr>
          <w:color w:val="000000" w:themeColor="text1"/>
          <w14:textFill>
            <w14:solidFill>
              <w14:schemeClr w14:val="tx1"/>
            </w14:solidFill>
          </w14:textFill>
        </w:rPr>
      </w:pPr>
      <w:r>
        <w:rPr>
          <w:rFonts w:hint="eastAsia"/>
          <w:color w:val="000000" w:themeColor="text1"/>
          <w14:textFill>
            <w14:solidFill>
              <w14:schemeClr w14:val="tx1"/>
            </w14:solidFill>
          </w14:textFill>
        </w:rPr>
        <w:t>（1）防火、防爆安全对策措施及建议</w:t>
      </w:r>
    </w:p>
    <w:p w14:paraId="30379212">
      <w:pPr>
        <w:rPr>
          <w:color w:val="000000" w:themeColor="text1"/>
          <w14:textFill>
            <w14:solidFill>
              <w14:schemeClr w14:val="tx1"/>
            </w14:solidFill>
          </w14:textFill>
        </w:rPr>
      </w:pPr>
      <w:r>
        <w:rPr>
          <w:rFonts w:hint="eastAsia"/>
          <w:color w:val="000000" w:themeColor="text1"/>
          <w14:textFill>
            <w14:solidFill>
              <w14:schemeClr w14:val="tx1"/>
            </w14:solidFill>
          </w14:textFill>
        </w:rPr>
        <w:t>（2）电气系统安全对策措施及建议</w:t>
      </w:r>
    </w:p>
    <w:p w14:paraId="5F775DFB">
      <w:pPr>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（3）防雷、防静电安全对策措施及建议</w:t>
      </w:r>
    </w:p>
    <w:p w14:paraId="4B66DE5C">
      <w:pPr>
        <w:rPr>
          <w:color w:val="000000" w:themeColor="text1"/>
          <w14:textFill>
            <w14:solidFill>
              <w14:schemeClr w14:val="tx1"/>
            </w14:solidFill>
          </w14:textFill>
        </w:rPr>
      </w:pPr>
      <w:r>
        <w:rPr>
          <w:rFonts w:hint="eastAsia"/>
          <w:color w:val="000000" w:themeColor="text1"/>
          <w14:textFill>
            <w14:solidFill>
              <w14:schemeClr w14:val="tx1"/>
            </w14:solidFill>
          </w14:textFill>
        </w:rPr>
        <w:t>（4）特殊作业安全对策措施及建议</w:t>
      </w:r>
    </w:p>
    <w:p w14:paraId="581EE126">
      <w:pPr>
        <w:rPr>
          <w:color w:val="000000" w:themeColor="text1"/>
          <w14:textFill>
            <w14:solidFill>
              <w14:schemeClr w14:val="tx1"/>
            </w14:solidFill>
          </w14:textFill>
        </w:rPr>
      </w:pPr>
      <w:r>
        <w:rPr>
          <w:rFonts w:hint="eastAsia"/>
          <w:color w:val="000000" w:themeColor="text1"/>
          <w14:textFill>
            <w14:solidFill>
              <w14:schemeClr w14:val="tx1"/>
            </w14:solidFill>
          </w14:textFill>
        </w:rPr>
        <w:t>（5）劳动防护用品配备和使用建议</w:t>
      </w:r>
    </w:p>
    <w:p w14:paraId="32928D27">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（6）安全管理对策措施及建议</w:t>
      </w:r>
    </w:p>
    <w:p w14:paraId="019E288C">
      <w:pPr>
        <w:rPr>
          <w:color w:val="000000" w:themeColor="text1"/>
          <w14:textFill>
            <w14:solidFill>
              <w14:schemeClr w14:val="tx1"/>
            </w14:solidFill>
          </w14:textFill>
        </w:rPr>
      </w:pPr>
      <w:r>
        <w:rPr>
          <w:rFonts w:hint="eastAsia"/>
          <w:color w:val="000000" w:themeColor="text1"/>
          <w14:textFill>
            <w14:solidFill>
              <w14:schemeClr w14:val="tx1"/>
            </w14:solidFill>
          </w14:textFill>
        </w:rPr>
        <w:t>（7）加油站设备设施安全对策措施和建议</w:t>
      </w:r>
    </w:p>
    <w:p w14:paraId="494DD460">
      <w:pPr>
        <w:rPr>
          <w:color w:val="000000" w:themeColor="text1"/>
          <w14:textFill>
            <w14:solidFill>
              <w14:schemeClr w14:val="tx1"/>
            </w14:solidFill>
          </w14:textFill>
        </w:rPr>
      </w:pPr>
      <w:r>
        <w:rPr>
          <w:rFonts w:hint="eastAsia"/>
          <w:color w:val="000000" w:themeColor="text1"/>
          <w14:textFill>
            <w14:solidFill>
              <w14:schemeClr w14:val="tx1"/>
            </w14:solidFill>
          </w14:textFill>
        </w:rPr>
        <w:t>（8）重点监管及特别管控危险化学品对策措施和建议</w:t>
      </w:r>
    </w:p>
    <w:p w14:paraId="2A970723">
      <w:pPr>
        <w:pStyle w:val="3"/>
        <w:rPr>
          <w:color w:val="000000" w:themeColor="text1"/>
          <w14:textFill>
            <w14:solidFill>
              <w14:schemeClr w14:val="tx1"/>
            </w14:solidFill>
          </w14:textFill>
        </w:rPr>
      </w:pPr>
      <w:bookmarkStart w:id="439" w:name="_Toc28328"/>
      <w:r>
        <w:rPr>
          <w:rFonts w:hint="eastAsia"/>
          <w:color w:val="000000" w:themeColor="text1"/>
          <w14:textFill>
            <w14:solidFill>
              <w14:schemeClr w14:val="tx1"/>
            </w14:solidFill>
          </w14:textFill>
        </w:rPr>
        <w:t>评价结论</w:t>
      </w:r>
      <w:bookmarkEnd w:id="437"/>
      <w:bookmarkEnd w:id="439"/>
    </w:p>
    <w:p w14:paraId="5A412756">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通过对加油站外部安全条件、加油站平面布置、加油站工艺及设施、公用工程、安全设施、安全管理等方面的综合分析评价，评价组认为：</w:t>
      </w:r>
    </w:p>
    <w:p w14:paraId="3F26D9C4">
      <w:pPr>
        <w:rPr>
          <w:b/>
          <w:bCs/>
          <w:color w:val="000000" w:themeColor="text1"/>
          <w14:textFill>
            <w14:solidFill>
              <w14:schemeClr w14:val="tx1"/>
            </w14:solidFill>
          </w14:textFill>
        </w:rPr>
        <w:sectPr>
          <w:pgSz w:w="11905" w:h="16838"/>
          <w:pgMar w:top="1304" w:right="1361" w:bottom="1304" w:left="1361" w:header="850" w:footer="850" w:gutter="0"/>
          <w:cols w:space="0" w:num="1"/>
          <w:rtlGutter w:val="0"/>
          <w:docGrid w:type="linesAndChars" w:linePitch="386" w:charSpace="0"/>
        </w:sectPr>
      </w:pPr>
      <w:r>
        <w:rPr>
          <w:rFonts w:hint="eastAsia"/>
          <w:color w:val="000000" w:themeColor="text1"/>
          <w14:textFill>
            <w14:solidFill>
              <w14:schemeClr w14:val="tx1"/>
            </w14:solidFill>
          </w14:textFill>
        </w:rPr>
        <w:t>加油站与周边环境设施、加油站内部设备设施的安全距离满足规范要求；加油站的平面布置合理，采用的工艺系统及设备设施</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现行标准和规范要求，加油站的公用工程能够满足加油站安全运行需求；加油站的安全管理机构设置合理、安全管理规章制度符合加油站实际要求，安全生产保障系统运作有效。</w:t>
      </w:r>
      <w:r>
        <w:rPr>
          <w:rFonts w:hint="eastAsia"/>
          <w:b/>
          <w:bCs/>
          <w:color w:val="000000" w:themeColor="text1"/>
          <w:lang w:eastAsia="zh-CN"/>
          <w14:textFill>
            <w14:solidFill>
              <w14:schemeClr w14:val="tx1"/>
            </w14:solidFill>
          </w14:textFill>
        </w:rPr>
        <w:t>文山市星运能源有限公司</w:t>
      </w:r>
      <w:r>
        <w:rPr>
          <w:rFonts w:hint="eastAsia"/>
          <w:b/>
          <w:bCs/>
          <w:color w:val="000000" w:themeColor="text1"/>
          <w14:textFill>
            <w14:solidFill>
              <w14:schemeClr w14:val="tx1"/>
            </w14:solidFill>
          </w14:textFill>
        </w:rPr>
        <w:t>符合国家现行安全生产相关的法律、法规及技术标准的要求，</w:t>
      </w:r>
      <w:r>
        <w:rPr>
          <w:b/>
          <w:bCs/>
          <w:color w:val="000000" w:themeColor="text1"/>
          <w14:textFill>
            <w14:solidFill>
              <w14:schemeClr w14:val="tx1"/>
            </w14:solidFill>
          </w14:textFill>
        </w:rPr>
        <w:t>具备安全</w:t>
      </w:r>
      <w:r>
        <w:rPr>
          <w:rFonts w:hint="eastAsia"/>
          <w:b/>
          <w:bCs/>
          <w:color w:val="000000" w:themeColor="text1"/>
          <w14:textFill>
            <w14:solidFill>
              <w14:schemeClr w14:val="tx1"/>
            </w14:solidFill>
          </w14:textFill>
        </w:rPr>
        <w:t>经营</w:t>
      </w:r>
      <w:r>
        <w:rPr>
          <w:b/>
          <w:bCs/>
          <w:color w:val="000000" w:themeColor="text1"/>
          <w14:textFill>
            <w14:solidFill>
              <w14:schemeClr w14:val="tx1"/>
            </w14:solidFill>
          </w14:textFill>
        </w:rPr>
        <w:t>的条件</w:t>
      </w:r>
      <w:r>
        <w:rPr>
          <w:rFonts w:hint="eastAsia"/>
          <w:b/>
          <w:bCs/>
          <w:color w:val="000000" w:themeColor="text1"/>
          <w14:textFill>
            <w14:solidFill>
              <w14:schemeClr w14:val="tx1"/>
            </w14:solidFill>
          </w14:textFill>
        </w:rPr>
        <w:t>。</w:t>
      </w:r>
    </w:p>
    <w:bookmarkEnd w:id="432"/>
    <w:p w14:paraId="5B4BC887">
      <w:pPr>
        <w:pStyle w:val="2"/>
        <w:spacing w:before="193" w:after="193"/>
        <w:rPr>
          <w:color w:val="000000" w:themeColor="text1"/>
          <w14:textFill>
            <w14:solidFill>
              <w14:schemeClr w14:val="tx1"/>
            </w14:solidFill>
          </w14:textFill>
        </w:rPr>
      </w:pPr>
      <w:bookmarkStart w:id="440" w:name="_Toc8947"/>
      <w:bookmarkStart w:id="441" w:name="_Toc32667"/>
      <w:bookmarkStart w:id="442" w:name="_Toc195176780"/>
      <w:bookmarkStart w:id="443" w:name="_Toc258574864"/>
      <w:r>
        <w:rPr>
          <w:rFonts w:hint="eastAsia"/>
          <w:color w:val="000000" w:themeColor="text1"/>
          <w14:textFill>
            <w14:solidFill>
              <w14:schemeClr w14:val="tx1"/>
            </w14:solidFill>
          </w14:textFill>
        </w:rPr>
        <w:t>与建设单位交换意见的情况</w:t>
      </w:r>
      <w:bookmarkEnd w:id="440"/>
      <w:bookmarkEnd w:id="441"/>
    </w:p>
    <w:p w14:paraId="4FE0F325">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通过评价组成员对建设项目提供的资料进行认真分析及对现场实地勘查，评价组认为目前该项目选择工艺设备，消防、供配电、防雷等设施设备符合规范要求。</w:t>
      </w:r>
    </w:p>
    <w:p w14:paraId="150E763F">
      <w:pPr>
        <w:rPr>
          <w:rFonts w:hint="eastAsia"/>
          <w:color w:val="000000" w:themeColor="text1"/>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加油站的油罐区、油品卸车点、加油区以及通气管口周边属于加油站的防火防爆区域，除了保持安全防护距离足够的前提，在电气选型、防雷防静电、防火器材、通风状况等按加油站防火防爆的相关规定执行。</w:t>
      </w:r>
    </w:p>
    <w:p w14:paraId="67EB4930">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同时，针对项目的相关资料文件及现场勘查情况，评价组提出了相应的安全对策措施及建议，建设单位对评价组提出的意见可以接受，并进行落实。</w:t>
      </w:r>
      <w:r>
        <w:rPr>
          <w:rFonts w:hint="eastAsia"/>
          <w:color w:val="000000" w:themeColor="text1"/>
          <w:lang w:val="en-US" w:eastAsia="zh-CN"/>
          <w14:textFill>
            <w14:solidFill>
              <w14:schemeClr w14:val="tx1"/>
            </w14:solidFill>
          </w14:textFill>
        </w:rPr>
        <w:t>加油站应</w:t>
      </w:r>
      <w:r>
        <w:rPr>
          <w:rFonts w:hint="eastAsia"/>
          <w:color w:val="000000" w:themeColor="text1"/>
          <w14:textFill>
            <w14:solidFill>
              <w14:schemeClr w14:val="tx1"/>
            </w14:solidFill>
          </w14:textFill>
        </w:rPr>
        <w:t>每年至少开展一次</w:t>
      </w:r>
      <w:r>
        <w:rPr>
          <w:rFonts w:hint="eastAsia"/>
          <w:color w:val="000000" w:themeColor="text1"/>
          <w:lang w:val="en-US" w:eastAsia="zh-CN"/>
          <w14:textFill>
            <w14:solidFill>
              <w14:schemeClr w14:val="tx1"/>
            </w14:solidFill>
          </w14:textFill>
        </w:rPr>
        <w:t>安全生产标准化</w:t>
      </w:r>
      <w:r>
        <w:rPr>
          <w:rFonts w:hint="eastAsia"/>
          <w:color w:val="000000" w:themeColor="text1"/>
          <w14:textFill>
            <w14:solidFill>
              <w14:schemeClr w14:val="tx1"/>
            </w14:solidFill>
          </w14:textFill>
        </w:rPr>
        <w:t>自评工作，并形成书面自评报告</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在生产经营过程中应不断完善安全管理制度，如应急值班制度</w:t>
      </w:r>
      <w:bookmarkEnd w:id="3"/>
      <w:bookmarkEnd w:id="4"/>
      <w:bookmarkEnd w:id="5"/>
      <w:bookmarkEnd w:id="6"/>
      <w:bookmarkEnd w:id="7"/>
      <w:bookmarkEnd w:id="8"/>
      <w:bookmarkEnd w:id="9"/>
      <w:bookmarkEnd w:id="10"/>
      <w:bookmarkEnd w:id="11"/>
      <w:bookmarkEnd w:id="12"/>
      <w:bookmarkEnd w:id="13"/>
      <w:bookmarkEnd w:id="14"/>
      <w:bookmarkEnd w:id="15"/>
      <w:bookmarkEnd w:id="442"/>
      <w:bookmarkEnd w:id="443"/>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应完善工伤保险</w:t>
      </w:r>
      <w:r>
        <w:rPr>
          <w:rFonts w:hint="eastAsia"/>
          <w:color w:val="000000" w:themeColor="text1"/>
          <w14:textFill>
            <w14:solidFill>
              <w14:schemeClr w14:val="tx1"/>
            </w14:solidFill>
          </w14:textFill>
        </w:rPr>
        <w:t>。</w:t>
      </w:r>
    </w:p>
    <w:sectPr>
      <w:pgSz w:w="11905" w:h="16838"/>
      <w:pgMar w:top="1304" w:right="1361" w:bottom="1304" w:left="1361" w:header="850" w:footer="850" w:gutter="0"/>
      <w:cols w:space="0" w:num="1"/>
      <w:rtlGutter w:val="0"/>
      <w:docGrid w:type="linesAndChars" w:linePitch="3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仿宋_GB2312">
    <w:panose1 w:val="02010609030101010101"/>
    <w:charset w:val="86"/>
    <w:family w:val="modern"/>
    <w:pitch w:val="default"/>
    <w:sig w:usb0="00000001" w:usb1="080E0000" w:usb2="00000000" w:usb3="00000000" w:csb0="00040000" w:csb1="00000000"/>
  </w:font>
  <w:font w:name="..ì.">
    <w:altName w:val="宋体"/>
    <w:panose1 w:val="00000000000000000000"/>
    <w:charset w:val="86"/>
    <w:family w:val="swiss"/>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0A263">
    <w:pPr>
      <w:pStyle w:val="23"/>
      <w:ind w:firstLine="420"/>
      <w:jc w:val="both"/>
      <w:rPr>
        <w:szCs w:val="21"/>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1AED35">
                          <w:pPr>
                            <w:pStyle w:val="23"/>
                            <w:pBdr>
                              <w:top w:val="none" w:color="auto" w:sz="0" w:space="1"/>
                            </w:pBdr>
                            <w:ind w:firstLine="420"/>
                            <w:jc w:val="both"/>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8pt;width:45.5pt;mso-position-horizontal:center;mso-position-horizontal-relative:margin;z-index:251661312;mso-width-relative:page;mso-height-relative:page;" filled="f" stroked="f" coordsize="21600,21600" o:gfxdata="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RxkGrSAAAAAwEAAA8AAAAAAAAAAQAgAAAAIgAAAGRycy9kb3ducmV2LnhtbFBLAQIU&#10;ABQAAAAIAIdO4kD73h4xMgIAAFcEAAAOAAAAAAAAAAEAIAAAACEBAABkcnMvZTJvRG9jLnhtbFBL&#10;BQYAAAAABgAGAFkBAADFBQAAAAA=&#10;">
              <v:fill on="f" focussize="0,0"/>
              <v:stroke on="f" weight="0.5pt"/>
              <v:imagedata o:title=""/>
              <o:lock v:ext="edit" aspectratio="f"/>
              <v:textbox inset="0mm,0mm,0mm,0mm">
                <w:txbxContent>
                  <w:p w14:paraId="571AED35">
                    <w:pPr>
                      <w:pStyle w:val="23"/>
                      <w:pBdr>
                        <w:top w:val="none" w:color="auto" w:sz="0" w:space="1"/>
                      </w:pBdr>
                      <w:ind w:firstLine="420"/>
                      <w:jc w:val="both"/>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70530">
    <w:pPr>
      <w:pStyle w:val="23"/>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C6B14">
    <w:pPr>
      <w:pStyle w:val="23"/>
      <w:ind w:firstLine="4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9509E">
    <w:pPr>
      <w:pStyle w:val="23"/>
      <w:jc w:val="both"/>
      <w:rPr>
        <w:sz w:val="21"/>
        <w:szCs w:val="21"/>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577850" cy="2286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D4D2B">
                          <w:pPr>
                            <w:pStyle w:val="23"/>
                            <w:pBdr>
                              <w:top w:val="none" w:color="auto" w:sz="0" w:space="1"/>
                            </w:pBdr>
                            <w:jc w:val="both"/>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8pt;width:45.5pt;mso-position-horizontal:center;mso-position-horizontal-relative:margin;z-index:251667456;mso-width-relative:page;mso-height-relative:page;" filled="f" stroked="f" coordsize="21600,21600" o:gfxdata="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RxkGrSAAAAAwEAAA8AAAAAAAAAAQAgAAAAIgAAAGRycy9kb3ducmV2LnhtbFBLAQIU&#10;ABQAAAAIAIdO4kCNJMnVMgIAAFcEAAAOAAAAAAAAAAEAIAAAACEBAABkcnMvZTJvRG9jLnhtbFBL&#10;BQYAAAAABgAGAFkBAADFBQAAAAA=&#10;">
              <v:fill on="f" focussize="0,0"/>
              <v:stroke on="f" weight="0.5pt"/>
              <v:imagedata o:title=""/>
              <o:lock v:ext="edit" aspectratio="f"/>
              <v:textbox inset="0mm,0mm,0mm,0mm">
                <w:txbxContent>
                  <w:p w14:paraId="59BD4D2B">
                    <w:pPr>
                      <w:pStyle w:val="23"/>
                      <w:pBdr>
                        <w:top w:val="none" w:color="auto" w:sz="0" w:space="1"/>
                      </w:pBdr>
                      <w:jc w:val="both"/>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21"/>
        <w:szCs w:val="21"/>
      </w:rPr>
      <w:t>昭通市鼎安科技有限公司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16B99">
    <w:pPr>
      <w:pStyle w:val="23"/>
      <w:tabs>
        <w:tab w:val="center" w:pos="4252"/>
        <w:tab w:val="clear" w:pos="4153"/>
      </w:tabs>
      <w:ind w:firstLine="420"/>
      <w:jc w:val="both"/>
      <w:rPr>
        <w:szCs w:val="21"/>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D8329">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1312;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hMoT0wAAAAQBAAAPAAAAAAAAAAEAIAAAACIAAABkcnMvZG93bnJldi54bWxQ&#10;SwECFAAUAAAACACHTuJApGI5KjUCAABYBAAADgAAAAAAAAABACAAAAAiAQAAZHJzL2Uyb0RvYy54&#10;bWxQSwUGAAAAAAYABgBZAQAAyQUAAAAA&#10;">
              <v:fill on="f" focussize="0,0"/>
              <v:stroke on="f" weight="0.5pt"/>
              <v:imagedata o:title=""/>
              <o:lock v:ext="edit" aspectratio="f"/>
              <v:textbox inset="0mm,0mm,0mm,0mm" style="mso-fit-shape-to-text:t;">
                <w:txbxContent>
                  <w:p w14:paraId="279D8329">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r>
      <w:rPr>
        <w:rFonts w:hint="eastAsia"/>
        <w:szCs w:val="21"/>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393FF">
    <w:pPr>
      <w:pStyle w:val="23"/>
      <w:keepNext w:val="0"/>
      <w:keepLines w:val="0"/>
      <w:pageBreakBefore w:val="0"/>
      <w:widowControl w:val="0"/>
      <w:tabs>
        <w:tab w:val="center" w:pos="4252"/>
        <w:tab w:val="clear" w:pos="4153"/>
      </w:tabs>
      <w:kinsoku/>
      <w:wordWrap/>
      <w:overflowPunct/>
      <w:topLinePunct w:val="0"/>
      <w:bidi w:val="0"/>
      <w:adjustRightInd/>
      <w:snapToGrid w:val="0"/>
      <w:spacing w:line="410" w:lineRule="exact"/>
      <w:ind w:firstLine="0" w:firstLineChars="0"/>
      <w:jc w:val="both"/>
      <w:textAlignment w:val="auto"/>
      <w:rPr>
        <w:szCs w:val="21"/>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3DF190">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2336;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oTKE9MAAAAEAQAADwAAAAAAAAABACAAAAAiAAAAZHJzL2Rvd25yZXYueG1sUEsB&#10;AhQAFAAAAAgAh07iQL7x4N0zAgAAVgQAAA4AAAAAAAAAAQAgAAAAIgEAAGRycy9lMm9Eb2MueG1s&#10;UEsFBgAAAAAGAAYAWQEAAMcFAAAAAA==&#10;">
              <v:fill on="f" focussize="0,0"/>
              <v:stroke on="f" weight="0.5pt"/>
              <v:imagedata o:title=""/>
              <o:lock v:ext="edit" aspectratio="f"/>
              <v:textbox inset="0mm,0mm,0mm,0mm" style="mso-fit-shape-to-text:t;">
                <w:txbxContent>
                  <w:p w14:paraId="623DF190">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3BAF1">
    <w:pPr>
      <w:pStyle w:val="24"/>
      <w:keepNext w:val="0"/>
      <w:keepLines w:val="0"/>
      <w:pageBreakBefore w:val="0"/>
      <w:widowControl w:val="0"/>
      <w:pBdr>
        <w:bottom w:val="single" w:color="auto" w:sz="4" w:space="1"/>
      </w:pBdr>
      <w:kinsoku/>
      <w:wordWrap/>
      <w:overflowPunct/>
      <w:topLinePunct w:val="0"/>
      <w:bidi w:val="0"/>
      <w:adjustRightInd/>
      <w:snapToGrid w:val="0"/>
      <w:spacing w:line="430" w:lineRule="exact"/>
      <w:ind w:firstLine="0" w:firstLineChars="0"/>
      <w:textAlignment w:val="auto"/>
    </w:pPr>
    <w:r>
      <w:rPr>
        <w:rFonts w:hint="eastAsia"/>
        <w:lang w:eastAsia="zh-CN"/>
      </w:rPr>
      <w:t>文山市星运能源有限公司</w:t>
    </w:r>
    <w:r>
      <w:rPr>
        <w:rFonts w:hint="eastAsia"/>
      </w:rPr>
      <w:t>安全现状评价报告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33EF9">
    <w:pPr>
      <w:pStyle w:val="24"/>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1AEF7">
    <w:pPr>
      <w:pStyle w:val="24"/>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2C4EB"/>
    <w:multiLevelType w:val="singleLevel"/>
    <w:tmpl w:val="89E2C4EB"/>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1">
    <w:nsid w:val="23D67C8B"/>
    <w:multiLevelType w:val="multilevel"/>
    <w:tmpl w:val="23D67C8B"/>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5C540E4"/>
    <w:multiLevelType w:val="multilevel"/>
    <w:tmpl w:val="25C540E4"/>
    <w:lvl w:ilvl="0" w:tentative="0">
      <w:start w:val="1"/>
      <w:numFmt w:val="decimal"/>
      <w:lvlText w:val="%1."/>
      <w:lvlJc w:val="left"/>
      <w:pPr>
        <w:tabs>
          <w:tab w:val="left" w:pos="1049"/>
        </w:tabs>
        <w:ind w:left="78"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41C32576"/>
    <w:multiLevelType w:val="multilevel"/>
    <w:tmpl w:val="41C32576"/>
    <w:lvl w:ilvl="0" w:tentative="0">
      <w:start w:val="1"/>
      <w:numFmt w:val="decimal"/>
      <w:pStyle w:val="2"/>
      <w:lvlText w:val="第%1章"/>
      <w:lvlJc w:val="center"/>
      <w:pPr>
        <w:tabs>
          <w:tab w:val="left" w:pos="992"/>
        </w:tabs>
        <w:ind w:left="0" w:firstLine="0"/>
      </w:pPr>
      <w:rPr>
        <w:rFonts w:hint="eastAsia"/>
      </w:rPr>
    </w:lvl>
    <w:lvl w:ilvl="1" w:tentative="0">
      <w:start w:val="1"/>
      <w:numFmt w:val="decimal"/>
      <w:pStyle w:val="3"/>
      <w:lvlText w:val="%1.%2"/>
      <w:lvlJc w:val="left"/>
      <w:pPr>
        <w:tabs>
          <w:tab w:val="left" w:pos="851"/>
        </w:tabs>
        <w:ind w:left="0" w:firstLine="0"/>
      </w:pPr>
      <w:rPr>
        <w:rFonts w:hint="eastAsia"/>
      </w:rPr>
    </w:lvl>
    <w:lvl w:ilvl="2" w:tentative="0">
      <w:start w:val="1"/>
      <w:numFmt w:val="decimal"/>
      <w:pStyle w:val="4"/>
      <w:lvlText w:val="%1.%2.%3"/>
      <w:lvlJc w:val="left"/>
      <w:pPr>
        <w:ind w:left="0" w:firstLine="0"/>
      </w:pPr>
      <w:rPr>
        <w:rFonts w:hint="eastAsia"/>
      </w:rPr>
    </w:lvl>
    <w:lvl w:ilvl="3" w:tentative="0">
      <w:start w:val="1"/>
      <w:numFmt w:val="decimal"/>
      <w:pStyle w:val="5"/>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81626DF"/>
    <w:multiLevelType w:val="multilevel"/>
    <w:tmpl w:val="481626DF"/>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56862591"/>
    <w:multiLevelType w:val="multilevel"/>
    <w:tmpl w:val="56862591"/>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568625A0"/>
    <w:multiLevelType w:val="multilevel"/>
    <w:tmpl w:val="568625A0"/>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7">
    <w:nsid w:val="68EA2BA5"/>
    <w:multiLevelType w:val="multilevel"/>
    <w:tmpl w:val="68EA2BA5"/>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47"/>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7A6C652E"/>
    <w:multiLevelType w:val="multilevel"/>
    <w:tmpl w:val="7A6C652E"/>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7FB2335A"/>
    <w:multiLevelType w:val="multilevel"/>
    <w:tmpl w:val="7FB2335A"/>
    <w:lvl w:ilvl="0" w:tentative="0">
      <w:start w:val="1"/>
      <w:numFmt w:val="decimal"/>
      <w:lvlText w:val="%1."/>
      <w:lvlJc w:val="left"/>
      <w:pPr>
        <w:tabs>
          <w:tab w:val="left" w:pos="1049"/>
        </w:tabs>
        <w:ind w:left="2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3"/>
  </w:num>
  <w:num w:numId="2">
    <w:abstractNumId w:val="0"/>
  </w:num>
  <w:num w:numId="3">
    <w:abstractNumId w:val="8"/>
  </w:num>
  <w:num w:numId="4">
    <w:abstractNumId w:val="7"/>
  </w:num>
  <w:num w:numId="5">
    <w:abstractNumId w:val="9"/>
  </w:num>
  <w:num w:numId="6">
    <w:abstractNumId w:val="5"/>
  </w:num>
  <w:num w:numId="7">
    <w:abstractNumId w:val="1"/>
  </w:num>
  <w:num w:numId="8">
    <w:abstractNumId w:val="6"/>
  </w:num>
  <w:num w:numId="9">
    <w:abstractNumId w:val="1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4ZTk1ZGM0NzRlOTVjNmQyZDljMTlmZGM1MWJiZjIifQ=="/>
  </w:docVars>
  <w:rsids>
    <w:rsidRoot w:val="00B861E5"/>
    <w:rsid w:val="000012C3"/>
    <w:rsid w:val="000040C7"/>
    <w:rsid w:val="00006DF3"/>
    <w:rsid w:val="000100C0"/>
    <w:rsid w:val="000155E3"/>
    <w:rsid w:val="00016ED8"/>
    <w:rsid w:val="00025848"/>
    <w:rsid w:val="00027424"/>
    <w:rsid w:val="0003138B"/>
    <w:rsid w:val="00031921"/>
    <w:rsid w:val="00053DD0"/>
    <w:rsid w:val="00056DD8"/>
    <w:rsid w:val="00063796"/>
    <w:rsid w:val="00064929"/>
    <w:rsid w:val="000706E2"/>
    <w:rsid w:val="000748A4"/>
    <w:rsid w:val="000776F7"/>
    <w:rsid w:val="00084FD1"/>
    <w:rsid w:val="00093617"/>
    <w:rsid w:val="000A4667"/>
    <w:rsid w:val="000A4910"/>
    <w:rsid w:val="000A58E7"/>
    <w:rsid w:val="000A5E0A"/>
    <w:rsid w:val="000A7FE2"/>
    <w:rsid w:val="000B09EA"/>
    <w:rsid w:val="000B1A0E"/>
    <w:rsid w:val="000B238F"/>
    <w:rsid w:val="000B675B"/>
    <w:rsid w:val="000B70D2"/>
    <w:rsid w:val="000B7321"/>
    <w:rsid w:val="000D06CA"/>
    <w:rsid w:val="000D226D"/>
    <w:rsid w:val="000D384B"/>
    <w:rsid w:val="000E14E6"/>
    <w:rsid w:val="000E3B97"/>
    <w:rsid w:val="000E7F4A"/>
    <w:rsid w:val="000F0C24"/>
    <w:rsid w:val="000F122A"/>
    <w:rsid w:val="000F39B4"/>
    <w:rsid w:val="000F54A5"/>
    <w:rsid w:val="000F70F9"/>
    <w:rsid w:val="001030E8"/>
    <w:rsid w:val="00103540"/>
    <w:rsid w:val="00113238"/>
    <w:rsid w:val="00114385"/>
    <w:rsid w:val="00115BE5"/>
    <w:rsid w:val="00116399"/>
    <w:rsid w:val="00121E93"/>
    <w:rsid w:val="00126B86"/>
    <w:rsid w:val="00131228"/>
    <w:rsid w:val="00132B6B"/>
    <w:rsid w:val="00136D59"/>
    <w:rsid w:val="00142699"/>
    <w:rsid w:val="00157036"/>
    <w:rsid w:val="00165596"/>
    <w:rsid w:val="0017327D"/>
    <w:rsid w:val="001733DB"/>
    <w:rsid w:val="00176686"/>
    <w:rsid w:val="0017755E"/>
    <w:rsid w:val="00180F7A"/>
    <w:rsid w:val="00181BBD"/>
    <w:rsid w:val="00182895"/>
    <w:rsid w:val="001850CB"/>
    <w:rsid w:val="00194560"/>
    <w:rsid w:val="00196347"/>
    <w:rsid w:val="001A0392"/>
    <w:rsid w:val="001A049C"/>
    <w:rsid w:val="001A10BA"/>
    <w:rsid w:val="001A37C1"/>
    <w:rsid w:val="001A42A0"/>
    <w:rsid w:val="001A43AC"/>
    <w:rsid w:val="001B0CFB"/>
    <w:rsid w:val="001B0E36"/>
    <w:rsid w:val="001B2031"/>
    <w:rsid w:val="001B500B"/>
    <w:rsid w:val="001B5AE7"/>
    <w:rsid w:val="001B5B2F"/>
    <w:rsid w:val="001B68E4"/>
    <w:rsid w:val="001B69AB"/>
    <w:rsid w:val="001B69D0"/>
    <w:rsid w:val="001C19F2"/>
    <w:rsid w:val="001C27A1"/>
    <w:rsid w:val="001D024F"/>
    <w:rsid w:val="001D09F4"/>
    <w:rsid w:val="001D4324"/>
    <w:rsid w:val="001D6853"/>
    <w:rsid w:val="001D6BB5"/>
    <w:rsid w:val="001D6BFC"/>
    <w:rsid w:val="001E2639"/>
    <w:rsid w:val="001E29F5"/>
    <w:rsid w:val="001E3FEC"/>
    <w:rsid w:val="001E7810"/>
    <w:rsid w:val="001F04A4"/>
    <w:rsid w:val="001F2195"/>
    <w:rsid w:val="001F2BCE"/>
    <w:rsid w:val="00201A41"/>
    <w:rsid w:val="0020297B"/>
    <w:rsid w:val="0020386D"/>
    <w:rsid w:val="00206CE4"/>
    <w:rsid w:val="002071C3"/>
    <w:rsid w:val="00210814"/>
    <w:rsid w:val="00210887"/>
    <w:rsid w:val="00220FAC"/>
    <w:rsid w:val="00222A9A"/>
    <w:rsid w:val="00222B1F"/>
    <w:rsid w:val="00245739"/>
    <w:rsid w:val="00254857"/>
    <w:rsid w:val="00262C23"/>
    <w:rsid w:val="00264A79"/>
    <w:rsid w:val="002657C9"/>
    <w:rsid w:val="002676D1"/>
    <w:rsid w:val="00272CD7"/>
    <w:rsid w:val="00272F5C"/>
    <w:rsid w:val="00273177"/>
    <w:rsid w:val="002757FC"/>
    <w:rsid w:val="00277AA6"/>
    <w:rsid w:val="0028310B"/>
    <w:rsid w:val="002841DC"/>
    <w:rsid w:val="00286B6A"/>
    <w:rsid w:val="00290655"/>
    <w:rsid w:val="00294BB1"/>
    <w:rsid w:val="002A14ED"/>
    <w:rsid w:val="002A4D2E"/>
    <w:rsid w:val="002A7B4E"/>
    <w:rsid w:val="002B107A"/>
    <w:rsid w:val="002B560B"/>
    <w:rsid w:val="002B7BFA"/>
    <w:rsid w:val="002C28FB"/>
    <w:rsid w:val="002C4FAF"/>
    <w:rsid w:val="002D7815"/>
    <w:rsid w:val="002E27F8"/>
    <w:rsid w:val="002E510E"/>
    <w:rsid w:val="002F625D"/>
    <w:rsid w:val="00302C28"/>
    <w:rsid w:val="003035E0"/>
    <w:rsid w:val="00303F00"/>
    <w:rsid w:val="00303F4F"/>
    <w:rsid w:val="003046E3"/>
    <w:rsid w:val="00305B5C"/>
    <w:rsid w:val="00306232"/>
    <w:rsid w:val="003064D7"/>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301F"/>
    <w:rsid w:val="00356DD7"/>
    <w:rsid w:val="00357F8C"/>
    <w:rsid w:val="0036034E"/>
    <w:rsid w:val="00360DF2"/>
    <w:rsid w:val="00365052"/>
    <w:rsid w:val="00365474"/>
    <w:rsid w:val="00366377"/>
    <w:rsid w:val="00366EB0"/>
    <w:rsid w:val="00371ABF"/>
    <w:rsid w:val="003752C8"/>
    <w:rsid w:val="0037575A"/>
    <w:rsid w:val="00377550"/>
    <w:rsid w:val="00381661"/>
    <w:rsid w:val="003843D5"/>
    <w:rsid w:val="0038542F"/>
    <w:rsid w:val="00385ED5"/>
    <w:rsid w:val="00395CEC"/>
    <w:rsid w:val="00395DF8"/>
    <w:rsid w:val="00396112"/>
    <w:rsid w:val="003969B6"/>
    <w:rsid w:val="00396AD1"/>
    <w:rsid w:val="003A5882"/>
    <w:rsid w:val="003A682F"/>
    <w:rsid w:val="003B5847"/>
    <w:rsid w:val="003C2449"/>
    <w:rsid w:val="003C708C"/>
    <w:rsid w:val="003D15DD"/>
    <w:rsid w:val="003D19AD"/>
    <w:rsid w:val="003D401C"/>
    <w:rsid w:val="003D6728"/>
    <w:rsid w:val="003E5DF8"/>
    <w:rsid w:val="003E7546"/>
    <w:rsid w:val="003E7B61"/>
    <w:rsid w:val="003F3B9F"/>
    <w:rsid w:val="003F508F"/>
    <w:rsid w:val="003F7BB2"/>
    <w:rsid w:val="00402D81"/>
    <w:rsid w:val="00403929"/>
    <w:rsid w:val="004065AF"/>
    <w:rsid w:val="004138BC"/>
    <w:rsid w:val="00414110"/>
    <w:rsid w:val="00415565"/>
    <w:rsid w:val="0041601D"/>
    <w:rsid w:val="0041697F"/>
    <w:rsid w:val="004210C6"/>
    <w:rsid w:val="00430337"/>
    <w:rsid w:val="00434291"/>
    <w:rsid w:val="00455AC8"/>
    <w:rsid w:val="004608D6"/>
    <w:rsid w:val="00462FB1"/>
    <w:rsid w:val="004668AC"/>
    <w:rsid w:val="00470942"/>
    <w:rsid w:val="00474BEE"/>
    <w:rsid w:val="00477065"/>
    <w:rsid w:val="00477B8F"/>
    <w:rsid w:val="00480097"/>
    <w:rsid w:val="004838B8"/>
    <w:rsid w:val="00486AE0"/>
    <w:rsid w:val="00487B37"/>
    <w:rsid w:val="00491387"/>
    <w:rsid w:val="00491BCF"/>
    <w:rsid w:val="0049591C"/>
    <w:rsid w:val="004A5402"/>
    <w:rsid w:val="004A55B2"/>
    <w:rsid w:val="004A55C8"/>
    <w:rsid w:val="004A5669"/>
    <w:rsid w:val="004A56D7"/>
    <w:rsid w:val="004A727D"/>
    <w:rsid w:val="004B530E"/>
    <w:rsid w:val="004B7FA2"/>
    <w:rsid w:val="004C212A"/>
    <w:rsid w:val="004C2739"/>
    <w:rsid w:val="004C36B9"/>
    <w:rsid w:val="004C7E20"/>
    <w:rsid w:val="004D03BF"/>
    <w:rsid w:val="004D202D"/>
    <w:rsid w:val="004D2631"/>
    <w:rsid w:val="004D2F86"/>
    <w:rsid w:val="004D3377"/>
    <w:rsid w:val="004D516E"/>
    <w:rsid w:val="004D6996"/>
    <w:rsid w:val="004D7839"/>
    <w:rsid w:val="004E04F3"/>
    <w:rsid w:val="004E1B44"/>
    <w:rsid w:val="004E3189"/>
    <w:rsid w:val="004E49CC"/>
    <w:rsid w:val="004E4EA9"/>
    <w:rsid w:val="004E6FE2"/>
    <w:rsid w:val="004F7BFD"/>
    <w:rsid w:val="00500D1C"/>
    <w:rsid w:val="00510943"/>
    <w:rsid w:val="00516180"/>
    <w:rsid w:val="005200EF"/>
    <w:rsid w:val="00523AF1"/>
    <w:rsid w:val="00525E05"/>
    <w:rsid w:val="00525FDA"/>
    <w:rsid w:val="0053007D"/>
    <w:rsid w:val="0053255D"/>
    <w:rsid w:val="00535F7E"/>
    <w:rsid w:val="0053663D"/>
    <w:rsid w:val="005404B3"/>
    <w:rsid w:val="00542D18"/>
    <w:rsid w:val="00542FFA"/>
    <w:rsid w:val="0054498A"/>
    <w:rsid w:val="00557214"/>
    <w:rsid w:val="0056104B"/>
    <w:rsid w:val="00562684"/>
    <w:rsid w:val="00571A02"/>
    <w:rsid w:val="00573722"/>
    <w:rsid w:val="00574DB0"/>
    <w:rsid w:val="005805DC"/>
    <w:rsid w:val="00581AB8"/>
    <w:rsid w:val="005838E3"/>
    <w:rsid w:val="00584F19"/>
    <w:rsid w:val="0058698A"/>
    <w:rsid w:val="005A0707"/>
    <w:rsid w:val="005A19F6"/>
    <w:rsid w:val="005A30EA"/>
    <w:rsid w:val="005A432C"/>
    <w:rsid w:val="005A6F47"/>
    <w:rsid w:val="005B1704"/>
    <w:rsid w:val="005B67C3"/>
    <w:rsid w:val="005C067C"/>
    <w:rsid w:val="005C3DF2"/>
    <w:rsid w:val="005C4BD6"/>
    <w:rsid w:val="005D067D"/>
    <w:rsid w:val="005D27C4"/>
    <w:rsid w:val="005D2D88"/>
    <w:rsid w:val="005D4432"/>
    <w:rsid w:val="005E3401"/>
    <w:rsid w:val="005E4BE9"/>
    <w:rsid w:val="005F01E0"/>
    <w:rsid w:val="005F0CAE"/>
    <w:rsid w:val="005F10DB"/>
    <w:rsid w:val="005F1F09"/>
    <w:rsid w:val="005F6E8E"/>
    <w:rsid w:val="00603637"/>
    <w:rsid w:val="006044D7"/>
    <w:rsid w:val="00606037"/>
    <w:rsid w:val="006064CC"/>
    <w:rsid w:val="00611207"/>
    <w:rsid w:val="0061432E"/>
    <w:rsid w:val="0062215E"/>
    <w:rsid w:val="006267A8"/>
    <w:rsid w:val="006326A0"/>
    <w:rsid w:val="006355A9"/>
    <w:rsid w:val="00637B3B"/>
    <w:rsid w:val="00640898"/>
    <w:rsid w:val="00646B1F"/>
    <w:rsid w:val="00652223"/>
    <w:rsid w:val="00653704"/>
    <w:rsid w:val="00653D3A"/>
    <w:rsid w:val="00655E9C"/>
    <w:rsid w:val="00664AF0"/>
    <w:rsid w:val="0066590E"/>
    <w:rsid w:val="006713FA"/>
    <w:rsid w:val="00673A0B"/>
    <w:rsid w:val="00673E65"/>
    <w:rsid w:val="00674746"/>
    <w:rsid w:val="0067643A"/>
    <w:rsid w:val="00686BA8"/>
    <w:rsid w:val="006915E6"/>
    <w:rsid w:val="00696DB1"/>
    <w:rsid w:val="006A21FA"/>
    <w:rsid w:val="006A4EAB"/>
    <w:rsid w:val="006A6CF1"/>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49EF"/>
    <w:rsid w:val="00715962"/>
    <w:rsid w:val="00717FF3"/>
    <w:rsid w:val="00721DCB"/>
    <w:rsid w:val="0072228C"/>
    <w:rsid w:val="00724E22"/>
    <w:rsid w:val="007261B9"/>
    <w:rsid w:val="00726C48"/>
    <w:rsid w:val="0073038A"/>
    <w:rsid w:val="00730F22"/>
    <w:rsid w:val="00732696"/>
    <w:rsid w:val="0073278E"/>
    <w:rsid w:val="00736597"/>
    <w:rsid w:val="00741A2E"/>
    <w:rsid w:val="00745085"/>
    <w:rsid w:val="007467CA"/>
    <w:rsid w:val="00750602"/>
    <w:rsid w:val="0075748B"/>
    <w:rsid w:val="0075795D"/>
    <w:rsid w:val="00762615"/>
    <w:rsid w:val="00765A02"/>
    <w:rsid w:val="007667D7"/>
    <w:rsid w:val="00775115"/>
    <w:rsid w:val="0077624E"/>
    <w:rsid w:val="00776A1D"/>
    <w:rsid w:val="007807A0"/>
    <w:rsid w:val="00780ABF"/>
    <w:rsid w:val="00781140"/>
    <w:rsid w:val="007849DF"/>
    <w:rsid w:val="00784CC8"/>
    <w:rsid w:val="0078789C"/>
    <w:rsid w:val="00793119"/>
    <w:rsid w:val="0079458A"/>
    <w:rsid w:val="00795CB5"/>
    <w:rsid w:val="007A21AE"/>
    <w:rsid w:val="007A74A0"/>
    <w:rsid w:val="007B0B62"/>
    <w:rsid w:val="007B1702"/>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801FA0"/>
    <w:rsid w:val="00802F74"/>
    <w:rsid w:val="00804127"/>
    <w:rsid w:val="00815604"/>
    <w:rsid w:val="008159F0"/>
    <w:rsid w:val="0082134C"/>
    <w:rsid w:val="008216E6"/>
    <w:rsid w:val="00826542"/>
    <w:rsid w:val="008370CB"/>
    <w:rsid w:val="00841B9B"/>
    <w:rsid w:val="00842A43"/>
    <w:rsid w:val="00852564"/>
    <w:rsid w:val="00855C71"/>
    <w:rsid w:val="00860ABC"/>
    <w:rsid w:val="00861C4B"/>
    <w:rsid w:val="008621CC"/>
    <w:rsid w:val="00864066"/>
    <w:rsid w:val="00864C90"/>
    <w:rsid w:val="00870156"/>
    <w:rsid w:val="0087221F"/>
    <w:rsid w:val="008749F2"/>
    <w:rsid w:val="00876E78"/>
    <w:rsid w:val="00880E81"/>
    <w:rsid w:val="00883C65"/>
    <w:rsid w:val="00884EC5"/>
    <w:rsid w:val="00887566"/>
    <w:rsid w:val="0089195B"/>
    <w:rsid w:val="00892FDB"/>
    <w:rsid w:val="00893FD8"/>
    <w:rsid w:val="0089485F"/>
    <w:rsid w:val="008A0970"/>
    <w:rsid w:val="008A2EED"/>
    <w:rsid w:val="008A508A"/>
    <w:rsid w:val="008A7B82"/>
    <w:rsid w:val="008C3C71"/>
    <w:rsid w:val="008C692C"/>
    <w:rsid w:val="008D26CB"/>
    <w:rsid w:val="008D2D99"/>
    <w:rsid w:val="008D3271"/>
    <w:rsid w:val="008D6A68"/>
    <w:rsid w:val="008D74A5"/>
    <w:rsid w:val="008E181E"/>
    <w:rsid w:val="008E538D"/>
    <w:rsid w:val="008E6F9C"/>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7C3F"/>
    <w:rsid w:val="009505D0"/>
    <w:rsid w:val="009544E0"/>
    <w:rsid w:val="009549B0"/>
    <w:rsid w:val="00960C65"/>
    <w:rsid w:val="00961240"/>
    <w:rsid w:val="0096219C"/>
    <w:rsid w:val="0096278E"/>
    <w:rsid w:val="00966300"/>
    <w:rsid w:val="009711A5"/>
    <w:rsid w:val="009752CB"/>
    <w:rsid w:val="0097539F"/>
    <w:rsid w:val="009844B1"/>
    <w:rsid w:val="00986A54"/>
    <w:rsid w:val="00990858"/>
    <w:rsid w:val="009925BA"/>
    <w:rsid w:val="00992CBD"/>
    <w:rsid w:val="009A1A56"/>
    <w:rsid w:val="009A370F"/>
    <w:rsid w:val="009B103D"/>
    <w:rsid w:val="009B6648"/>
    <w:rsid w:val="009B72F0"/>
    <w:rsid w:val="009B74BF"/>
    <w:rsid w:val="009C1AE4"/>
    <w:rsid w:val="009C47DE"/>
    <w:rsid w:val="009C6BC9"/>
    <w:rsid w:val="009D079C"/>
    <w:rsid w:val="009D3DCD"/>
    <w:rsid w:val="009D6C3B"/>
    <w:rsid w:val="009E0C30"/>
    <w:rsid w:val="009E588B"/>
    <w:rsid w:val="009E6926"/>
    <w:rsid w:val="009F07A9"/>
    <w:rsid w:val="009F1D9C"/>
    <w:rsid w:val="009F2DEF"/>
    <w:rsid w:val="009F5619"/>
    <w:rsid w:val="009F7BD0"/>
    <w:rsid w:val="00A034D7"/>
    <w:rsid w:val="00A04E2B"/>
    <w:rsid w:val="00A06E12"/>
    <w:rsid w:val="00A07225"/>
    <w:rsid w:val="00A20798"/>
    <w:rsid w:val="00A20F9E"/>
    <w:rsid w:val="00A23626"/>
    <w:rsid w:val="00A24B25"/>
    <w:rsid w:val="00A25543"/>
    <w:rsid w:val="00A26743"/>
    <w:rsid w:val="00A37722"/>
    <w:rsid w:val="00A41F11"/>
    <w:rsid w:val="00A421C4"/>
    <w:rsid w:val="00A45847"/>
    <w:rsid w:val="00A46C41"/>
    <w:rsid w:val="00A5098B"/>
    <w:rsid w:val="00A52800"/>
    <w:rsid w:val="00A52E29"/>
    <w:rsid w:val="00A536A4"/>
    <w:rsid w:val="00A56A47"/>
    <w:rsid w:val="00A617B3"/>
    <w:rsid w:val="00A65908"/>
    <w:rsid w:val="00A65BD2"/>
    <w:rsid w:val="00A67136"/>
    <w:rsid w:val="00A73E51"/>
    <w:rsid w:val="00A75B3A"/>
    <w:rsid w:val="00A76945"/>
    <w:rsid w:val="00A862A3"/>
    <w:rsid w:val="00A87C46"/>
    <w:rsid w:val="00A918DA"/>
    <w:rsid w:val="00A92C93"/>
    <w:rsid w:val="00A95B3C"/>
    <w:rsid w:val="00A963B7"/>
    <w:rsid w:val="00AA0366"/>
    <w:rsid w:val="00AA4AD8"/>
    <w:rsid w:val="00AA6250"/>
    <w:rsid w:val="00AA672E"/>
    <w:rsid w:val="00AB1A78"/>
    <w:rsid w:val="00AC0CD3"/>
    <w:rsid w:val="00AC0F69"/>
    <w:rsid w:val="00AC235B"/>
    <w:rsid w:val="00AD19A6"/>
    <w:rsid w:val="00AD264F"/>
    <w:rsid w:val="00AD4615"/>
    <w:rsid w:val="00AD6357"/>
    <w:rsid w:val="00AE01D8"/>
    <w:rsid w:val="00AE2F0E"/>
    <w:rsid w:val="00AE47D5"/>
    <w:rsid w:val="00AE581C"/>
    <w:rsid w:val="00AE7597"/>
    <w:rsid w:val="00AF368D"/>
    <w:rsid w:val="00AF7515"/>
    <w:rsid w:val="00AF7772"/>
    <w:rsid w:val="00B004E3"/>
    <w:rsid w:val="00B0053F"/>
    <w:rsid w:val="00B107B0"/>
    <w:rsid w:val="00B11393"/>
    <w:rsid w:val="00B12910"/>
    <w:rsid w:val="00B129AF"/>
    <w:rsid w:val="00B12F21"/>
    <w:rsid w:val="00B13685"/>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9050A"/>
    <w:rsid w:val="00B93E17"/>
    <w:rsid w:val="00BA2F71"/>
    <w:rsid w:val="00BA54C5"/>
    <w:rsid w:val="00BA5B7C"/>
    <w:rsid w:val="00BA6C24"/>
    <w:rsid w:val="00BB041F"/>
    <w:rsid w:val="00BB050B"/>
    <w:rsid w:val="00BB0718"/>
    <w:rsid w:val="00BB345C"/>
    <w:rsid w:val="00BB7CA8"/>
    <w:rsid w:val="00BC1D8D"/>
    <w:rsid w:val="00BC2CC2"/>
    <w:rsid w:val="00BC5002"/>
    <w:rsid w:val="00BD1961"/>
    <w:rsid w:val="00BD63EC"/>
    <w:rsid w:val="00BE0BCF"/>
    <w:rsid w:val="00BE10A2"/>
    <w:rsid w:val="00BE17C3"/>
    <w:rsid w:val="00BE6725"/>
    <w:rsid w:val="00BF0028"/>
    <w:rsid w:val="00BF2D25"/>
    <w:rsid w:val="00C02F90"/>
    <w:rsid w:val="00C11246"/>
    <w:rsid w:val="00C138D8"/>
    <w:rsid w:val="00C16933"/>
    <w:rsid w:val="00C16A1C"/>
    <w:rsid w:val="00C23258"/>
    <w:rsid w:val="00C24E97"/>
    <w:rsid w:val="00C25E9F"/>
    <w:rsid w:val="00C3254A"/>
    <w:rsid w:val="00C360F9"/>
    <w:rsid w:val="00C362BC"/>
    <w:rsid w:val="00C362D1"/>
    <w:rsid w:val="00C43287"/>
    <w:rsid w:val="00C44E5B"/>
    <w:rsid w:val="00C46213"/>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A4443"/>
    <w:rsid w:val="00CA5F5A"/>
    <w:rsid w:val="00CB2AD9"/>
    <w:rsid w:val="00CB5642"/>
    <w:rsid w:val="00CC42C7"/>
    <w:rsid w:val="00CD291D"/>
    <w:rsid w:val="00CD6821"/>
    <w:rsid w:val="00CD7620"/>
    <w:rsid w:val="00CE1524"/>
    <w:rsid w:val="00CE5E1C"/>
    <w:rsid w:val="00CF13EF"/>
    <w:rsid w:val="00CF3981"/>
    <w:rsid w:val="00CF39F1"/>
    <w:rsid w:val="00CF7A8B"/>
    <w:rsid w:val="00D153C6"/>
    <w:rsid w:val="00D1791E"/>
    <w:rsid w:val="00D20222"/>
    <w:rsid w:val="00D20F12"/>
    <w:rsid w:val="00D2246E"/>
    <w:rsid w:val="00D25BAE"/>
    <w:rsid w:val="00D25C39"/>
    <w:rsid w:val="00D30D03"/>
    <w:rsid w:val="00D32335"/>
    <w:rsid w:val="00D338AC"/>
    <w:rsid w:val="00D36A87"/>
    <w:rsid w:val="00D36D90"/>
    <w:rsid w:val="00D37CD1"/>
    <w:rsid w:val="00D43509"/>
    <w:rsid w:val="00D44F3C"/>
    <w:rsid w:val="00D4594A"/>
    <w:rsid w:val="00D46A36"/>
    <w:rsid w:val="00D52E2C"/>
    <w:rsid w:val="00D53E67"/>
    <w:rsid w:val="00D5718C"/>
    <w:rsid w:val="00D605C6"/>
    <w:rsid w:val="00D62CC6"/>
    <w:rsid w:val="00D62E3F"/>
    <w:rsid w:val="00D6462E"/>
    <w:rsid w:val="00D64AE1"/>
    <w:rsid w:val="00D658BC"/>
    <w:rsid w:val="00D679A6"/>
    <w:rsid w:val="00D67FEE"/>
    <w:rsid w:val="00D710B1"/>
    <w:rsid w:val="00D7233E"/>
    <w:rsid w:val="00D72626"/>
    <w:rsid w:val="00D72F45"/>
    <w:rsid w:val="00D759DA"/>
    <w:rsid w:val="00D76284"/>
    <w:rsid w:val="00D80B81"/>
    <w:rsid w:val="00D81DB7"/>
    <w:rsid w:val="00D84503"/>
    <w:rsid w:val="00D85A5E"/>
    <w:rsid w:val="00D91EDB"/>
    <w:rsid w:val="00D92BB0"/>
    <w:rsid w:val="00D93666"/>
    <w:rsid w:val="00D952A5"/>
    <w:rsid w:val="00DA5E64"/>
    <w:rsid w:val="00DB10D7"/>
    <w:rsid w:val="00DB36BA"/>
    <w:rsid w:val="00DB5EE8"/>
    <w:rsid w:val="00DB69DD"/>
    <w:rsid w:val="00DB705E"/>
    <w:rsid w:val="00DB70E2"/>
    <w:rsid w:val="00DC0597"/>
    <w:rsid w:val="00DC3D15"/>
    <w:rsid w:val="00DC770C"/>
    <w:rsid w:val="00DD6477"/>
    <w:rsid w:val="00DD6B37"/>
    <w:rsid w:val="00DE08A5"/>
    <w:rsid w:val="00DE114E"/>
    <w:rsid w:val="00DE13EE"/>
    <w:rsid w:val="00DE1C44"/>
    <w:rsid w:val="00DE45CD"/>
    <w:rsid w:val="00E04BE1"/>
    <w:rsid w:val="00E05443"/>
    <w:rsid w:val="00E05D15"/>
    <w:rsid w:val="00E06A77"/>
    <w:rsid w:val="00E124DE"/>
    <w:rsid w:val="00E125B1"/>
    <w:rsid w:val="00E22370"/>
    <w:rsid w:val="00E24483"/>
    <w:rsid w:val="00E24BE7"/>
    <w:rsid w:val="00E25724"/>
    <w:rsid w:val="00E37373"/>
    <w:rsid w:val="00E37CF6"/>
    <w:rsid w:val="00E416EE"/>
    <w:rsid w:val="00E46E1C"/>
    <w:rsid w:val="00E50C7C"/>
    <w:rsid w:val="00E50E07"/>
    <w:rsid w:val="00E53C82"/>
    <w:rsid w:val="00E562FB"/>
    <w:rsid w:val="00E5669C"/>
    <w:rsid w:val="00E60C1B"/>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4F7"/>
    <w:rsid w:val="00ED38F9"/>
    <w:rsid w:val="00ED7341"/>
    <w:rsid w:val="00EE15DC"/>
    <w:rsid w:val="00EF03A7"/>
    <w:rsid w:val="00EF0F9C"/>
    <w:rsid w:val="00EF278A"/>
    <w:rsid w:val="00EF7CC1"/>
    <w:rsid w:val="00F025DF"/>
    <w:rsid w:val="00F02E8B"/>
    <w:rsid w:val="00F072DF"/>
    <w:rsid w:val="00F10C9B"/>
    <w:rsid w:val="00F11BE8"/>
    <w:rsid w:val="00F13BAC"/>
    <w:rsid w:val="00F21CBC"/>
    <w:rsid w:val="00F2257E"/>
    <w:rsid w:val="00F3115A"/>
    <w:rsid w:val="00F41737"/>
    <w:rsid w:val="00F43169"/>
    <w:rsid w:val="00F4463B"/>
    <w:rsid w:val="00F45526"/>
    <w:rsid w:val="00F4668E"/>
    <w:rsid w:val="00F46A42"/>
    <w:rsid w:val="00F5108C"/>
    <w:rsid w:val="00F51178"/>
    <w:rsid w:val="00F5610D"/>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9F53A6"/>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1E0178"/>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2E8009D"/>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15355E"/>
    <w:rsid w:val="1662251B"/>
    <w:rsid w:val="1665769A"/>
    <w:rsid w:val="1675224E"/>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A915B8"/>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24FB2"/>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B42137"/>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4B6B28"/>
    <w:rsid w:val="26695200"/>
    <w:rsid w:val="26752333"/>
    <w:rsid w:val="26802C75"/>
    <w:rsid w:val="26906C30"/>
    <w:rsid w:val="26AF2191"/>
    <w:rsid w:val="26B172D2"/>
    <w:rsid w:val="26BE4F00"/>
    <w:rsid w:val="26EA4592"/>
    <w:rsid w:val="27085738"/>
    <w:rsid w:val="27187D6A"/>
    <w:rsid w:val="272A2F95"/>
    <w:rsid w:val="274041B2"/>
    <w:rsid w:val="27545EB0"/>
    <w:rsid w:val="276C6496"/>
    <w:rsid w:val="277D2D05"/>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436B3"/>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85892"/>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8F1C4E"/>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B28A5"/>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22450"/>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35F1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0384C"/>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55810"/>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1D70EF"/>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93003"/>
    <w:rsid w:val="702C760C"/>
    <w:rsid w:val="702E686B"/>
    <w:rsid w:val="7036571F"/>
    <w:rsid w:val="70853FB1"/>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4D6B88"/>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271FA"/>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67B5B"/>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421D5"/>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6000C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napToGrid w:val="0"/>
      <w:spacing w:line="500" w:lineRule="exact"/>
      <w:ind w:firstLine="560" w:firstLineChars="200"/>
      <w:jc w:val="both"/>
    </w:pPr>
    <w:rPr>
      <w:rFonts w:ascii="宋体" w:hAnsi="宋体" w:eastAsia="宋体" w:cs="宋体"/>
      <w:kern w:val="2"/>
      <w:sz w:val="28"/>
      <w:lang w:val="en-US" w:eastAsia="zh-CN" w:bidi="ar-SA"/>
    </w:rPr>
  </w:style>
  <w:style w:type="paragraph" w:styleId="2">
    <w:name w:val="heading 1"/>
    <w:basedOn w:val="1"/>
    <w:next w:val="1"/>
    <w:link w:val="99"/>
    <w:autoRedefine/>
    <w:qFormat/>
    <w:uiPriority w:val="0"/>
    <w:pPr>
      <w:keepNext/>
      <w:keepLines/>
      <w:numPr>
        <w:ilvl w:val="0"/>
        <w:numId w:val="1"/>
      </w:numPr>
      <w:spacing w:before="50" w:beforeLines="50" w:after="50" w:afterLines="50"/>
      <w:ind w:firstLineChars="0"/>
      <w:jc w:val="center"/>
      <w:outlineLvl w:val="0"/>
    </w:pPr>
    <w:rPr>
      <w:rFonts w:eastAsia="黑体"/>
      <w:b/>
      <w:bCs/>
      <w:kern w:val="44"/>
      <w:sz w:val="32"/>
      <w:szCs w:val="44"/>
    </w:rPr>
  </w:style>
  <w:style w:type="paragraph" w:styleId="3">
    <w:name w:val="heading 2"/>
    <w:basedOn w:val="1"/>
    <w:next w:val="1"/>
    <w:link w:val="100"/>
    <w:autoRedefine/>
    <w:qFormat/>
    <w:uiPriority w:val="0"/>
    <w:pPr>
      <w:keepNext/>
      <w:keepLines/>
      <w:numPr>
        <w:ilvl w:val="1"/>
        <w:numId w:val="1"/>
      </w:numPr>
      <w:ind w:firstLineChars="0"/>
      <w:jc w:val="center"/>
      <w:outlineLvl w:val="1"/>
    </w:pPr>
    <w:rPr>
      <w:rFonts w:eastAsia="楷体" w:cs="Times New Roman"/>
      <w:b/>
      <w:bCs/>
      <w:sz w:val="32"/>
      <w:szCs w:val="32"/>
    </w:rPr>
  </w:style>
  <w:style w:type="paragraph" w:styleId="4">
    <w:name w:val="heading 3"/>
    <w:basedOn w:val="1"/>
    <w:next w:val="1"/>
    <w:autoRedefine/>
    <w:qFormat/>
    <w:uiPriority w:val="0"/>
    <w:pPr>
      <w:keepNext/>
      <w:keepLines/>
      <w:numPr>
        <w:ilvl w:val="2"/>
        <w:numId w:val="1"/>
      </w:numPr>
      <w:tabs>
        <w:tab w:val="left" w:pos="992"/>
      </w:tabs>
      <w:ind w:firstLineChars="0"/>
      <w:jc w:val="left"/>
      <w:outlineLvl w:val="2"/>
    </w:pPr>
    <w:rPr>
      <w:rFonts w:eastAsia="黑体" w:cs="Times New Roman"/>
      <w:b/>
      <w:bCs/>
    </w:rPr>
  </w:style>
  <w:style w:type="paragraph" w:styleId="5">
    <w:name w:val="heading 4"/>
    <w:basedOn w:val="1"/>
    <w:next w:val="1"/>
    <w:autoRedefine/>
    <w:qFormat/>
    <w:uiPriority w:val="0"/>
    <w:pPr>
      <w:keepNext/>
      <w:numPr>
        <w:ilvl w:val="3"/>
        <w:numId w:val="1"/>
      </w:numPr>
      <w:outlineLvl w:val="3"/>
    </w:pPr>
    <w:rPr>
      <w:bCs/>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1680"/>
      <w:jc w:val="left"/>
    </w:pPr>
    <w:rPr>
      <w:rFonts w:asciiTheme="minorHAnsi" w:hAnsiTheme="minorHAnsi" w:cstheme="minorHAnsi"/>
      <w:sz w:val="18"/>
      <w:szCs w:val="18"/>
    </w:rPr>
  </w:style>
  <w:style w:type="paragraph" w:styleId="7">
    <w:name w:val="E-mail Signature"/>
    <w:basedOn w:val="1"/>
    <w:next w:val="8"/>
    <w:autoRedefine/>
    <w:qFormat/>
    <w:uiPriority w:val="0"/>
    <w:pPr>
      <w:spacing w:line="460" w:lineRule="exact"/>
      <w:ind w:firstLine="200"/>
    </w:pPr>
    <w:rPr>
      <w:rFonts w:ascii="Times New Roman"/>
      <w:sz w:val="24"/>
    </w:rPr>
  </w:style>
  <w:style w:type="paragraph" w:customStyle="1" w:styleId="8">
    <w:name w:val="文章"/>
    <w:basedOn w:val="9"/>
    <w:next w:val="11"/>
    <w:autoRedefine/>
    <w:qFormat/>
    <w:uiPriority w:val="0"/>
    <w:pPr>
      <w:widowControl/>
      <w:spacing w:line="240" w:lineRule="auto"/>
      <w:ind w:firstLine="480"/>
      <w:jc w:val="center"/>
    </w:pPr>
    <w:rPr>
      <w:rFonts w:ascii="Times New Roman"/>
      <w:sz w:val="26"/>
    </w:rPr>
  </w:style>
  <w:style w:type="paragraph" w:styleId="9">
    <w:name w:val="Body Text Indent"/>
    <w:basedOn w:val="1"/>
    <w:next w:val="10"/>
    <w:autoRedefine/>
    <w:qFormat/>
    <w:uiPriority w:val="0"/>
  </w:style>
  <w:style w:type="paragraph" w:styleId="10">
    <w:name w:val="toc 4"/>
    <w:basedOn w:val="1"/>
    <w:next w:val="1"/>
    <w:autoRedefine/>
    <w:qFormat/>
    <w:uiPriority w:val="39"/>
    <w:pPr>
      <w:ind w:left="840"/>
      <w:jc w:val="left"/>
    </w:pPr>
    <w:rPr>
      <w:rFonts w:asciiTheme="minorHAnsi" w:hAnsiTheme="minorHAnsi" w:cstheme="minorHAnsi"/>
      <w:sz w:val="18"/>
      <w:szCs w:val="18"/>
    </w:rPr>
  </w:style>
  <w:style w:type="paragraph" w:styleId="11">
    <w:name w:val="List"/>
    <w:basedOn w:val="1"/>
    <w:next w:val="12"/>
    <w:autoRedefine/>
    <w:qFormat/>
    <w:uiPriority w:val="0"/>
    <w:pPr>
      <w:ind w:left="200" w:hanging="200" w:hangingChars="200"/>
      <w:contextualSpacing/>
    </w:pPr>
  </w:style>
  <w:style w:type="paragraph" w:styleId="12">
    <w:name w:val="List Bullet 2"/>
    <w:basedOn w:val="1"/>
    <w:next w:val="13"/>
    <w:autoRedefine/>
    <w:qFormat/>
    <w:uiPriority w:val="0"/>
    <w:pPr>
      <w:numPr>
        <w:ilvl w:val="0"/>
        <w:numId w:val="2"/>
      </w:numPr>
    </w:pPr>
  </w:style>
  <w:style w:type="paragraph" w:customStyle="1" w:styleId="13">
    <w:name w:val="xl70"/>
    <w:basedOn w:val="1"/>
    <w:next w:val="14"/>
    <w:autoRedefine/>
    <w:qFormat/>
    <w:uiPriority w:val="0"/>
    <w:pPr>
      <w:widowControl/>
      <w:pBdr>
        <w:top w:val="single" w:color="auto" w:sz="4" w:space="0"/>
        <w:left w:val="single" w:color="auto" w:sz="4" w:space="0"/>
        <w:right w:val="single" w:color="auto" w:sz="8" w:space="0"/>
      </w:pBdr>
      <w:spacing w:before="100" w:beforeAutospacing="1" w:after="100" w:afterAutospacing="1"/>
      <w:jc w:val="left"/>
      <w:textAlignment w:val="center"/>
    </w:pPr>
    <w:rPr>
      <w:kern w:val="0"/>
      <w:sz w:val="24"/>
    </w:rPr>
  </w:style>
  <w:style w:type="paragraph" w:customStyle="1" w:styleId="14">
    <w:name w:val="正文缩进1"/>
    <w:basedOn w:val="1"/>
    <w:next w:val="15"/>
    <w:autoRedefine/>
    <w:qFormat/>
    <w:uiPriority w:val="0"/>
    <w:pPr>
      <w:spacing w:line="360" w:lineRule="auto"/>
      <w:ind w:firstLine="420"/>
    </w:pPr>
  </w:style>
  <w:style w:type="paragraph" w:customStyle="1" w:styleId="15">
    <w:name w:val="td1"/>
    <w:basedOn w:val="1"/>
    <w:next w:val="1"/>
    <w:autoRedefine/>
    <w:qFormat/>
    <w:uiPriority w:val="0"/>
    <w:pPr>
      <w:widowControl/>
      <w:spacing w:before="280" w:after="280" w:line="300" w:lineRule="atLeast"/>
      <w:ind w:firstLine="200"/>
    </w:pPr>
    <w:rPr>
      <w:rFonts w:ascii="Times New Roman"/>
      <w:color w:val="000000"/>
      <w:sz w:val="18"/>
    </w:rPr>
  </w:style>
  <w:style w:type="paragraph" w:styleId="16">
    <w:name w:val="Document Map"/>
    <w:basedOn w:val="1"/>
    <w:autoRedefine/>
    <w:qFormat/>
    <w:uiPriority w:val="0"/>
    <w:pPr>
      <w:shd w:val="clear" w:color="auto" w:fill="000080"/>
    </w:pPr>
  </w:style>
  <w:style w:type="paragraph" w:styleId="17">
    <w:name w:val="annotation text"/>
    <w:basedOn w:val="1"/>
    <w:link w:val="96"/>
    <w:autoRedefine/>
    <w:qFormat/>
    <w:uiPriority w:val="0"/>
    <w:pPr>
      <w:jc w:val="left"/>
    </w:pPr>
    <w:rPr>
      <w:rFonts w:cs="Times New Roman"/>
      <w:szCs w:val="24"/>
    </w:rPr>
  </w:style>
  <w:style w:type="paragraph" w:styleId="18">
    <w:name w:val="Body Text"/>
    <w:basedOn w:val="1"/>
    <w:next w:val="1"/>
    <w:autoRedefine/>
    <w:qFormat/>
    <w:uiPriority w:val="0"/>
    <w:pPr>
      <w:spacing w:after="120"/>
    </w:pPr>
  </w:style>
  <w:style w:type="paragraph" w:styleId="19">
    <w:name w:val="toc 5"/>
    <w:basedOn w:val="1"/>
    <w:next w:val="1"/>
    <w:autoRedefine/>
    <w:unhideWhenUsed/>
    <w:qFormat/>
    <w:uiPriority w:val="39"/>
    <w:pPr>
      <w:ind w:left="1120"/>
      <w:jc w:val="left"/>
    </w:pPr>
    <w:rPr>
      <w:rFonts w:asciiTheme="minorHAnsi" w:hAnsiTheme="minorHAnsi" w:cstheme="minorHAnsi"/>
      <w:sz w:val="18"/>
      <w:szCs w:val="18"/>
    </w:rPr>
  </w:style>
  <w:style w:type="paragraph" w:styleId="20">
    <w:name w:val="toc 3"/>
    <w:basedOn w:val="1"/>
    <w:next w:val="1"/>
    <w:autoRedefine/>
    <w:qFormat/>
    <w:uiPriority w:val="39"/>
    <w:pPr>
      <w:spacing w:line="400" w:lineRule="exact"/>
      <w:jc w:val="left"/>
    </w:pPr>
    <w:rPr>
      <w:rFonts w:asciiTheme="minorHAnsi" w:hAnsiTheme="minorHAnsi" w:cstheme="minorHAnsi"/>
      <w:iCs/>
      <w:sz w:val="24"/>
    </w:rPr>
  </w:style>
  <w:style w:type="paragraph" w:styleId="21">
    <w:name w:val="Plain Text"/>
    <w:basedOn w:val="1"/>
    <w:link w:val="79"/>
    <w:autoRedefine/>
    <w:qFormat/>
    <w:uiPriority w:val="0"/>
    <w:pPr>
      <w:snapToGrid/>
      <w:spacing w:line="240" w:lineRule="auto"/>
    </w:pPr>
    <w:rPr>
      <w:rFonts w:hAnsi="Courier New" w:cs="Times New Roman"/>
    </w:rPr>
  </w:style>
  <w:style w:type="paragraph" w:styleId="22">
    <w:name w:val="toc 8"/>
    <w:basedOn w:val="1"/>
    <w:next w:val="1"/>
    <w:autoRedefine/>
    <w:unhideWhenUsed/>
    <w:qFormat/>
    <w:uiPriority w:val="39"/>
    <w:pPr>
      <w:ind w:left="1960"/>
      <w:jc w:val="left"/>
    </w:pPr>
    <w:rPr>
      <w:rFonts w:asciiTheme="minorHAnsi" w:hAnsiTheme="minorHAnsi" w:cstheme="minorHAnsi"/>
      <w:sz w:val="18"/>
      <w:szCs w:val="18"/>
    </w:rPr>
  </w:style>
  <w:style w:type="paragraph" w:styleId="23">
    <w:name w:val="footer"/>
    <w:basedOn w:val="1"/>
    <w:link w:val="85"/>
    <w:autoRedefine/>
    <w:qFormat/>
    <w:uiPriority w:val="99"/>
    <w:pPr>
      <w:pBdr>
        <w:top w:val="single" w:color="auto" w:sz="4" w:space="1"/>
      </w:pBdr>
      <w:tabs>
        <w:tab w:val="center" w:leader="underscore" w:pos="4153"/>
        <w:tab w:val="right" w:leader="middleDot" w:pos="8306"/>
      </w:tabs>
      <w:spacing w:line="260" w:lineRule="exact"/>
      <w:jc w:val="left"/>
    </w:pPr>
    <w:rPr>
      <w:sz w:val="21"/>
      <w:szCs w:val="18"/>
    </w:rPr>
  </w:style>
  <w:style w:type="paragraph" w:styleId="24">
    <w:name w:val="header"/>
    <w:basedOn w:val="1"/>
    <w:autoRedefine/>
    <w:qFormat/>
    <w:uiPriority w:val="99"/>
    <w:pPr>
      <w:pBdr>
        <w:bottom w:val="single" w:color="auto" w:sz="6" w:space="1"/>
      </w:pBdr>
      <w:tabs>
        <w:tab w:val="center" w:pos="4153"/>
        <w:tab w:val="right" w:pos="8306"/>
      </w:tabs>
      <w:spacing w:line="520" w:lineRule="exact"/>
      <w:jc w:val="center"/>
    </w:pPr>
    <w:rPr>
      <w:sz w:val="21"/>
      <w:szCs w:val="18"/>
    </w:rPr>
  </w:style>
  <w:style w:type="paragraph" w:styleId="25">
    <w:name w:val="toc 1"/>
    <w:basedOn w:val="1"/>
    <w:next w:val="1"/>
    <w:autoRedefine/>
    <w:qFormat/>
    <w:uiPriority w:val="39"/>
    <w:pPr>
      <w:spacing w:line="400" w:lineRule="exact"/>
      <w:ind w:firstLine="0" w:firstLineChars="0"/>
      <w:jc w:val="left"/>
    </w:pPr>
    <w:rPr>
      <w:rFonts w:asciiTheme="minorHAnsi" w:hAnsiTheme="minorHAnsi" w:cstheme="minorHAnsi"/>
      <w:bCs/>
      <w:caps/>
      <w:sz w:val="24"/>
    </w:rPr>
  </w:style>
  <w:style w:type="paragraph" w:styleId="26">
    <w:name w:val="toc 6"/>
    <w:basedOn w:val="1"/>
    <w:next w:val="1"/>
    <w:autoRedefine/>
    <w:unhideWhenUsed/>
    <w:qFormat/>
    <w:uiPriority w:val="39"/>
    <w:pPr>
      <w:ind w:left="1400"/>
      <w:jc w:val="left"/>
    </w:pPr>
    <w:rPr>
      <w:rFonts w:asciiTheme="minorHAnsi" w:hAnsiTheme="minorHAnsi" w:cstheme="minorHAnsi"/>
      <w:sz w:val="18"/>
      <w:szCs w:val="18"/>
    </w:rPr>
  </w:style>
  <w:style w:type="paragraph" w:styleId="27">
    <w:name w:val="toc 2"/>
    <w:basedOn w:val="1"/>
    <w:next w:val="7"/>
    <w:autoRedefine/>
    <w:qFormat/>
    <w:uiPriority w:val="39"/>
    <w:pPr>
      <w:spacing w:line="400" w:lineRule="exact"/>
      <w:ind w:firstLine="280" w:firstLineChars="100"/>
      <w:jc w:val="left"/>
    </w:pPr>
    <w:rPr>
      <w:rFonts w:asciiTheme="minorHAnsi" w:hAnsiTheme="minorHAnsi" w:cstheme="minorHAnsi"/>
      <w:smallCaps/>
      <w:sz w:val="24"/>
    </w:rPr>
  </w:style>
  <w:style w:type="paragraph" w:styleId="28">
    <w:name w:val="toc 9"/>
    <w:basedOn w:val="1"/>
    <w:next w:val="1"/>
    <w:autoRedefine/>
    <w:unhideWhenUsed/>
    <w:qFormat/>
    <w:uiPriority w:val="39"/>
    <w:pPr>
      <w:ind w:left="2240"/>
      <w:jc w:val="left"/>
    </w:pPr>
    <w:rPr>
      <w:rFonts w:asciiTheme="minorHAnsi" w:hAnsiTheme="minorHAnsi" w:cstheme="minorHAnsi"/>
      <w:sz w:val="18"/>
      <w:szCs w:val="18"/>
    </w:rPr>
  </w:style>
  <w:style w:type="paragraph" w:styleId="29">
    <w:name w:val="Normal (Web)"/>
    <w:basedOn w:val="1"/>
    <w:autoRedefine/>
    <w:qFormat/>
    <w:uiPriority w:val="99"/>
    <w:pPr>
      <w:widowControl/>
      <w:snapToGrid/>
      <w:spacing w:before="100" w:beforeAutospacing="1" w:after="100" w:afterAutospacing="1" w:line="240" w:lineRule="auto"/>
      <w:jc w:val="left"/>
    </w:pPr>
    <w:rPr>
      <w:kern w:val="0"/>
      <w:sz w:val="24"/>
      <w:szCs w:val="24"/>
    </w:rPr>
  </w:style>
  <w:style w:type="paragraph" w:styleId="30">
    <w:name w:val="Title"/>
    <w:basedOn w:val="1"/>
    <w:next w:val="1"/>
    <w:link w:val="86"/>
    <w:autoRedefine/>
    <w:qFormat/>
    <w:uiPriority w:val="0"/>
    <w:pPr>
      <w:spacing w:before="240" w:after="60"/>
      <w:jc w:val="center"/>
      <w:outlineLvl w:val="0"/>
    </w:pPr>
    <w:rPr>
      <w:rFonts w:ascii="Cambria" w:hAnsi="Cambria" w:cs="Times New Roman"/>
      <w:b/>
      <w:bCs/>
      <w:sz w:val="32"/>
      <w:szCs w:val="32"/>
    </w:rPr>
  </w:style>
  <w:style w:type="paragraph" w:styleId="31">
    <w:name w:val="annotation subject"/>
    <w:basedOn w:val="17"/>
    <w:next w:val="17"/>
    <w:link w:val="97"/>
    <w:autoRedefine/>
    <w:qFormat/>
    <w:uiPriority w:val="0"/>
    <w:rPr>
      <w:rFonts w:cs="宋体"/>
      <w:b/>
      <w:bCs/>
      <w:szCs w:val="20"/>
    </w:rPr>
  </w:style>
  <w:style w:type="paragraph" w:styleId="32">
    <w:name w:val="Body Text First Indent"/>
    <w:basedOn w:val="1"/>
    <w:autoRedefine/>
    <w:qFormat/>
    <w:uiPriority w:val="0"/>
    <w:pPr>
      <w:spacing w:line="240" w:lineRule="auto"/>
      <w:ind w:firstLine="0" w:firstLineChars="0"/>
      <w:jc w:val="center"/>
    </w:pPr>
    <w:rPr>
      <w:snapToGrid w:val="0"/>
      <w:kern w:val="0"/>
      <w:sz w:val="24"/>
    </w:rPr>
  </w:style>
  <w:style w:type="table" w:styleId="34">
    <w:name w:val="Table Grid"/>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autoRedefine/>
    <w:qFormat/>
    <w:uiPriority w:val="0"/>
    <w:rPr>
      <w:b/>
      <w:bCs/>
    </w:rPr>
  </w:style>
  <w:style w:type="character" w:styleId="37">
    <w:name w:val="Hyperlink"/>
    <w:basedOn w:val="35"/>
    <w:autoRedefine/>
    <w:unhideWhenUsed/>
    <w:qFormat/>
    <w:uiPriority w:val="99"/>
    <w:rPr>
      <w:color w:val="0563C1" w:themeColor="hyperlink"/>
      <w:u w:val="single"/>
      <w14:textFill>
        <w14:solidFill>
          <w14:schemeClr w14:val="hlink"/>
        </w14:solidFill>
      </w14:textFill>
    </w:rPr>
  </w:style>
  <w:style w:type="character" w:styleId="38">
    <w:name w:val="annotation reference"/>
    <w:autoRedefine/>
    <w:qFormat/>
    <w:uiPriority w:val="0"/>
    <w:rPr>
      <w:sz w:val="21"/>
      <w:szCs w:val="21"/>
    </w:rPr>
  </w:style>
  <w:style w:type="paragraph" w:customStyle="1" w:styleId="39">
    <w:name w:val="Default"/>
    <w:basedOn w:val="40"/>
    <w:next w:val="41"/>
    <w:autoRedefine/>
    <w:qFormat/>
    <w:uiPriority w:val="0"/>
    <w:pPr>
      <w:autoSpaceDE w:val="0"/>
      <w:autoSpaceDN w:val="0"/>
    </w:pPr>
    <w:rPr>
      <w:rFonts w:hAnsi="Times New Roman"/>
      <w:color w:val="000000"/>
      <w:sz w:val="24"/>
      <w:szCs w:val="24"/>
    </w:rPr>
  </w:style>
  <w:style w:type="paragraph" w:customStyle="1" w:styleId="40">
    <w:name w:val="纯文本1"/>
    <w:basedOn w:val="1"/>
    <w:autoRedefine/>
    <w:qFormat/>
    <w:uiPriority w:val="0"/>
    <w:pPr>
      <w:adjustRightInd w:val="0"/>
    </w:pPr>
    <w:rPr>
      <w:rFonts w:hAnsi="Courier New"/>
    </w:rPr>
  </w:style>
  <w:style w:type="paragraph" w:customStyle="1" w:styleId="41">
    <w:name w:val="标题4"/>
    <w:basedOn w:val="1"/>
    <w:next w:val="42"/>
    <w:autoRedefine/>
    <w:qFormat/>
    <w:uiPriority w:val="0"/>
    <w:pPr>
      <w:outlineLvl w:val="3"/>
    </w:pPr>
    <w:rPr>
      <w:b/>
      <w:bCs/>
    </w:rPr>
  </w:style>
  <w:style w:type="paragraph" w:customStyle="1" w:styleId="42">
    <w:name w:val="Char1"/>
    <w:basedOn w:val="1"/>
    <w:next w:val="43"/>
    <w:autoRedefine/>
    <w:qFormat/>
    <w:uiPriority w:val="0"/>
    <w:pPr>
      <w:adjustRightInd w:val="0"/>
      <w:spacing w:line="360" w:lineRule="auto"/>
      <w:ind w:firstLine="200"/>
    </w:pPr>
    <w:rPr>
      <w:rFonts w:eastAsia="华文中宋" w:cs="Courier New"/>
      <w:sz w:val="32"/>
      <w:szCs w:val="32"/>
    </w:rPr>
  </w:style>
  <w:style w:type="paragraph" w:customStyle="1" w:styleId="43">
    <w:name w:val="Char"/>
    <w:basedOn w:val="16"/>
    <w:next w:val="44"/>
    <w:autoRedefine/>
    <w:qFormat/>
    <w:uiPriority w:val="0"/>
    <w:pPr>
      <w:widowControl/>
      <w:spacing w:after="160" w:line="240" w:lineRule="exact"/>
      <w:ind w:firstLine="3584"/>
    </w:pPr>
  </w:style>
  <w:style w:type="paragraph" w:customStyle="1" w:styleId="44">
    <w:name w:val="首行缩进加粗"/>
    <w:basedOn w:val="45"/>
    <w:next w:val="46"/>
    <w:link w:val="67"/>
    <w:autoRedefine/>
    <w:qFormat/>
    <w:uiPriority w:val="0"/>
    <w:rPr>
      <w:rFonts w:eastAsia="黑体"/>
      <w:b/>
      <w:bCs/>
    </w:rPr>
  </w:style>
  <w:style w:type="paragraph" w:customStyle="1" w:styleId="45">
    <w:name w:val="首行缩进"/>
    <w:basedOn w:val="1"/>
    <w:link w:val="81"/>
    <w:autoRedefine/>
    <w:qFormat/>
    <w:uiPriority w:val="0"/>
    <w:pPr>
      <w:ind w:firstLine="561"/>
    </w:pPr>
    <w:rPr>
      <w:kern w:val="0"/>
    </w:rPr>
  </w:style>
  <w:style w:type="paragraph" w:customStyle="1" w:styleId="46">
    <w:name w:val="四级条标题"/>
    <w:basedOn w:val="47"/>
    <w:next w:val="4"/>
    <w:autoRedefine/>
    <w:qFormat/>
    <w:uiPriority w:val="0"/>
    <w:pPr>
      <w:spacing w:before="50" w:after="50"/>
      <w:ind w:left="1080" w:firstLine="14"/>
      <w:outlineLvl w:val="5"/>
    </w:pPr>
  </w:style>
  <w:style w:type="paragraph" w:customStyle="1" w:styleId="47">
    <w:name w:val="三级条标题"/>
    <w:basedOn w:val="48"/>
    <w:next w:val="1"/>
    <w:autoRedefine/>
    <w:qFormat/>
    <w:uiPriority w:val="0"/>
    <w:pPr>
      <w:numPr>
        <w:ilvl w:val="4"/>
        <w:numId w:val="3"/>
      </w:numPr>
      <w:ind w:left="945"/>
      <w:outlineLvl w:val="4"/>
    </w:pPr>
  </w:style>
  <w:style w:type="paragraph" w:customStyle="1" w:styleId="48">
    <w:name w:val="二级条标题"/>
    <w:basedOn w:val="49"/>
    <w:next w:val="1"/>
    <w:autoRedefine/>
    <w:qFormat/>
    <w:uiPriority w:val="0"/>
    <w:pPr>
      <w:ind w:left="945"/>
      <w:outlineLvl w:val="3"/>
    </w:pPr>
  </w:style>
  <w:style w:type="paragraph" w:customStyle="1" w:styleId="49">
    <w:name w:val="一级条标题"/>
    <w:basedOn w:val="50"/>
    <w:next w:val="1"/>
    <w:autoRedefine/>
    <w:qFormat/>
    <w:uiPriority w:val="0"/>
    <w:pPr>
      <w:spacing w:before="0" w:beforeLines="0" w:after="0" w:afterLines="0"/>
      <w:outlineLvl w:val="2"/>
    </w:pPr>
  </w:style>
  <w:style w:type="paragraph" w:customStyle="1" w:styleId="50">
    <w:name w:val="章标题"/>
    <w:next w:val="1"/>
    <w:autoRedefine/>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customStyle="1" w:styleId="51">
    <w:name w:val="样式35"/>
    <w:basedOn w:val="52"/>
    <w:next w:val="56"/>
    <w:autoRedefine/>
    <w:qFormat/>
    <w:uiPriority w:val="0"/>
    <w:pPr>
      <w:tabs>
        <w:tab w:val="left" w:pos="0"/>
        <w:tab w:val="left" w:pos="360"/>
        <w:tab w:val="left" w:pos="540"/>
        <w:tab w:val="left" w:pos="567"/>
      </w:tabs>
      <w:spacing w:before="0" w:after="0" w:line="312" w:lineRule="auto"/>
      <w:ind w:left="0" w:firstLine="567"/>
    </w:pPr>
    <w:rPr>
      <w:rFonts w:ascii="宋体" w:eastAsia="宋体"/>
    </w:rPr>
  </w:style>
  <w:style w:type="paragraph" w:customStyle="1" w:styleId="52">
    <w:name w:val="样式26"/>
    <w:basedOn w:val="53"/>
    <w:autoRedefine/>
    <w:qFormat/>
    <w:uiPriority w:val="0"/>
    <w:pPr>
      <w:tabs>
        <w:tab w:val="left" w:pos="0"/>
        <w:tab w:val="left" w:pos="360"/>
        <w:tab w:val="left" w:pos="540"/>
        <w:tab w:val="left" w:pos="567"/>
      </w:tabs>
    </w:pPr>
  </w:style>
  <w:style w:type="paragraph" w:customStyle="1" w:styleId="53">
    <w:name w:val="样式21"/>
    <w:basedOn w:val="54"/>
    <w:autoRedefine/>
    <w:qFormat/>
    <w:uiPriority w:val="0"/>
    <w:pPr>
      <w:tabs>
        <w:tab w:val="left" w:pos="360"/>
        <w:tab w:val="left" w:pos="567"/>
      </w:tabs>
      <w:spacing w:before="120" w:beforeLines="0" w:after="120" w:afterLines="0"/>
      <w:ind w:hanging="992"/>
    </w:pPr>
  </w:style>
  <w:style w:type="paragraph" w:customStyle="1" w:styleId="54">
    <w:name w:val="样式5"/>
    <w:basedOn w:val="55"/>
    <w:autoRedefine/>
    <w:qFormat/>
    <w:uiPriority w:val="0"/>
    <w:pPr>
      <w:tabs>
        <w:tab w:val="left" w:pos="360"/>
        <w:tab w:val="left" w:pos="567"/>
      </w:tabs>
    </w:pPr>
  </w:style>
  <w:style w:type="paragraph" w:customStyle="1" w:styleId="55">
    <w:name w:val="样式12"/>
    <w:basedOn w:val="1"/>
    <w:autoRedefine/>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Cs w:val="28"/>
    </w:rPr>
  </w:style>
  <w:style w:type="paragraph" w:customStyle="1" w:styleId="56">
    <w:name w:val="font6"/>
    <w:basedOn w:val="1"/>
    <w:next w:val="27"/>
    <w:autoRedefine/>
    <w:qFormat/>
    <w:uiPriority w:val="0"/>
    <w:pPr>
      <w:widowControl/>
      <w:spacing w:before="100" w:beforeAutospacing="1" w:after="100" w:afterAutospacing="1"/>
      <w:jc w:val="left"/>
    </w:pPr>
    <w:rPr>
      <w:rFonts w:hint="eastAsia"/>
      <w:b/>
      <w:bCs/>
      <w:color w:val="0000FF"/>
      <w:kern w:val="0"/>
      <w:sz w:val="48"/>
      <w:szCs w:val="48"/>
    </w:rPr>
  </w:style>
  <w:style w:type="paragraph" w:customStyle="1" w:styleId="57">
    <w:name w:val="封面3"/>
    <w:basedOn w:val="1"/>
    <w:autoRedefine/>
    <w:qFormat/>
    <w:uiPriority w:val="0"/>
    <w:pPr>
      <w:jc w:val="center"/>
    </w:pPr>
    <w:rPr>
      <w:b/>
      <w:sz w:val="32"/>
      <w:szCs w:val="32"/>
    </w:rPr>
  </w:style>
  <w:style w:type="paragraph" w:customStyle="1" w:styleId="58">
    <w:name w:val="封面1"/>
    <w:basedOn w:val="1"/>
    <w:autoRedefine/>
    <w:qFormat/>
    <w:uiPriority w:val="0"/>
    <w:pPr>
      <w:jc w:val="center"/>
    </w:pPr>
    <w:rPr>
      <w:b/>
      <w:bCs/>
      <w:kern w:val="3"/>
      <w:sz w:val="44"/>
      <w:szCs w:val="48"/>
    </w:rPr>
  </w:style>
  <w:style w:type="paragraph" w:customStyle="1" w:styleId="59">
    <w:name w:val="表头红2"/>
    <w:basedOn w:val="1"/>
    <w:autoRedefine/>
    <w:qFormat/>
    <w:uiPriority w:val="0"/>
    <w:pPr>
      <w:widowControl/>
      <w:spacing w:after="100" w:afterAutospacing="1"/>
      <w:jc w:val="center"/>
      <w:textAlignment w:val="center"/>
    </w:pPr>
    <w:rPr>
      <w:rFonts w:eastAsia="黑体"/>
      <w:b/>
      <w:kern w:val="0"/>
      <w:sz w:val="32"/>
    </w:rPr>
  </w:style>
  <w:style w:type="paragraph" w:customStyle="1" w:styleId="60">
    <w:name w:val="填表4小中"/>
    <w:basedOn w:val="1"/>
    <w:next w:val="1"/>
    <w:autoRedefine/>
    <w:qFormat/>
    <w:uiPriority w:val="0"/>
    <w:pPr>
      <w:snapToGrid/>
      <w:spacing w:line="240" w:lineRule="auto"/>
      <w:jc w:val="center"/>
    </w:pPr>
    <w:rPr>
      <w:rFonts w:cs="Times New Roman"/>
      <w:sz w:val="24"/>
      <w:szCs w:val="24"/>
    </w:rPr>
  </w:style>
  <w:style w:type="paragraph" w:customStyle="1" w:styleId="61">
    <w:name w:val="样式 (西文) 仿宋_GB2312 (中文) 仿宋_GB2312 二号 加粗 居中 行距: 1.5 倍行距"/>
    <w:basedOn w:val="1"/>
    <w:autoRedefine/>
    <w:qFormat/>
    <w:uiPriority w:val="0"/>
    <w:pPr>
      <w:widowControl/>
      <w:snapToGrid/>
      <w:jc w:val="center"/>
    </w:pPr>
    <w:rPr>
      <w:rFonts w:ascii="仿宋_GB2312"/>
      <w:bCs/>
      <w:sz w:val="44"/>
    </w:rPr>
  </w:style>
  <w:style w:type="paragraph" w:customStyle="1" w:styleId="62">
    <w:name w:val="填表4小中2倍行距"/>
    <w:basedOn w:val="63"/>
    <w:autoRedefine/>
    <w:qFormat/>
    <w:uiPriority w:val="0"/>
    <w:pPr>
      <w:snapToGrid/>
      <w:spacing w:line="480" w:lineRule="auto"/>
    </w:pPr>
    <w:rPr>
      <w:rFonts w:cs="Times New Roman"/>
      <w:sz w:val="24"/>
      <w:szCs w:val="24"/>
    </w:rPr>
  </w:style>
  <w:style w:type="paragraph" w:customStyle="1" w:styleId="63">
    <w:name w:val="填表4中"/>
    <w:basedOn w:val="1"/>
    <w:next w:val="1"/>
    <w:autoRedefine/>
    <w:qFormat/>
    <w:uiPriority w:val="0"/>
    <w:pPr>
      <w:jc w:val="center"/>
    </w:pPr>
    <w:rPr>
      <w:szCs w:val="28"/>
    </w:rPr>
  </w:style>
  <w:style w:type="paragraph" w:customStyle="1" w:styleId="64">
    <w:name w:val="正文居中"/>
    <w:basedOn w:val="1"/>
    <w:autoRedefine/>
    <w:qFormat/>
    <w:uiPriority w:val="0"/>
    <w:pPr>
      <w:jc w:val="center"/>
    </w:pPr>
  </w:style>
  <w:style w:type="paragraph" w:customStyle="1" w:styleId="65">
    <w:name w:val="表头"/>
    <w:basedOn w:val="1"/>
    <w:next w:val="1"/>
    <w:link w:val="80"/>
    <w:autoRedefine/>
    <w:qFormat/>
    <w:uiPriority w:val="0"/>
    <w:pPr>
      <w:jc w:val="center"/>
    </w:pPr>
    <w:rPr>
      <w:rFonts w:cs="Times New Roman"/>
      <w:b/>
      <w:kern w:val="0"/>
    </w:rPr>
  </w:style>
  <w:style w:type="paragraph" w:customStyle="1" w:styleId="66">
    <w:name w:val="填表4小中单倍行距"/>
    <w:basedOn w:val="62"/>
    <w:link w:val="95"/>
    <w:autoRedefine/>
    <w:qFormat/>
    <w:uiPriority w:val="0"/>
    <w:pPr>
      <w:spacing w:line="240" w:lineRule="auto"/>
    </w:pPr>
    <w:rPr>
      <w:szCs w:val="20"/>
    </w:rPr>
  </w:style>
  <w:style w:type="character" w:customStyle="1" w:styleId="67">
    <w:name w:val="首行缩进加粗 Char"/>
    <w:link w:val="44"/>
    <w:autoRedefine/>
    <w:qFormat/>
    <w:uiPriority w:val="0"/>
    <w:rPr>
      <w:rFonts w:eastAsia="黑体"/>
      <w:b/>
      <w:bCs/>
    </w:rPr>
  </w:style>
  <w:style w:type="paragraph" w:customStyle="1" w:styleId="68">
    <w:name w:val="填表4小单倍行距"/>
    <w:basedOn w:val="69"/>
    <w:autoRedefine/>
    <w:qFormat/>
    <w:uiPriority w:val="0"/>
    <w:pPr>
      <w:snapToGrid/>
      <w:spacing w:line="240" w:lineRule="auto"/>
    </w:pPr>
    <w:rPr>
      <w:rFonts w:cs="Times New Roman"/>
      <w:szCs w:val="24"/>
    </w:rPr>
  </w:style>
  <w:style w:type="paragraph" w:customStyle="1" w:styleId="69">
    <w:name w:val="填表4小"/>
    <w:basedOn w:val="1"/>
    <w:next w:val="1"/>
    <w:autoRedefine/>
    <w:qFormat/>
    <w:uiPriority w:val="0"/>
    <w:rPr>
      <w:sz w:val="24"/>
    </w:rPr>
  </w:style>
  <w:style w:type="paragraph" w:customStyle="1" w:styleId="70">
    <w:name w:val="DefaultParagraphStyle"/>
    <w:basedOn w:val="1"/>
    <w:autoRedefine/>
    <w:qFormat/>
    <w:uiPriority w:val="0"/>
    <w:pPr>
      <w:widowControl/>
      <w:snapToGrid/>
      <w:ind w:firstLine="420"/>
      <w:jc w:val="left"/>
    </w:pPr>
    <w:rPr>
      <w:rFonts w:ascii="Arial" w:hAnsi="Arial" w:cs="Arial"/>
      <w:kern w:val="0"/>
      <w:sz w:val="20"/>
    </w:rPr>
  </w:style>
  <w:style w:type="paragraph" w:customStyle="1" w:styleId="71">
    <w:name w:val="填表4小14磅"/>
    <w:basedOn w:val="68"/>
    <w:autoRedefine/>
    <w:qFormat/>
    <w:uiPriority w:val="0"/>
    <w:pPr>
      <w:spacing w:line="280" w:lineRule="exact"/>
    </w:pPr>
  </w:style>
  <w:style w:type="paragraph" w:customStyle="1" w:styleId="72">
    <w:name w:val="正文加粗"/>
    <w:basedOn w:val="1"/>
    <w:autoRedefine/>
    <w:qFormat/>
    <w:uiPriority w:val="0"/>
    <w:rPr>
      <w:rFonts w:eastAsia="黑体"/>
      <w:b/>
    </w:rPr>
  </w:style>
  <w:style w:type="paragraph" w:customStyle="1" w:styleId="73">
    <w:name w:val="填表5"/>
    <w:basedOn w:val="1"/>
    <w:autoRedefine/>
    <w:qFormat/>
    <w:uiPriority w:val="0"/>
    <w:pPr>
      <w:snapToGrid/>
      <w:jc w:val="left"/>
    </w:pPr>
    <w:rPr>
      <w:rFonts w:cs="Times New Roman"/>
      <w:sz w:val="21"/>
    </w:rPr>
  </w:style>
  <w:style w:type="paragraph" w:customStyle="1" w:styleId="74">
    <w:name w:val="填表5中"/>
    <w:basedOn w:val="1"/>
    <w:next w:val="1"/>
    <w:link w:val="82"/>
    <w:autoRedefine/>
    <w:qFormat/>
    <w:uiPriority w:val="0"/>
    <w:pPr>
      <w:snapToGrid/>
      <w:jc w:val="center"/>
    </w:pPr>
    <w:rPr>
      <w:rFonts w:cs="Times New Roman"/>
      <w:sz w:val="21"/>
    </w:rPr>
  </w:style>
  <w:style w:type="paragraph" w:customStyle="1" w:styleId="75">
    <w:name w:val="表内容2"/>
    <w:basedOn w:val="1"/>
    <w:autoRedefine/>
    <w:qFormat/>
    <w:uiPriority w:val="0"/>
    <w:pPr>
      <w:adjustRightInd w:val="0"/>
      <w:spacing w:line="240" w:lineRule="auto"/>
      <w:jc w:val="center"/>
    </w:pPr>
    <w:rPr>
      <w:rFonts w:ascii="Times New Roman" w:eastAsia="仿宋_GB2312" w:cs="Times New Roman"/>
      <w:b/>
      <w:kern w:val="0"/>
      <w:sz w:val="21"/>
      <w:szCs w:val="18"/>
      <w:lang w:val="zh-CN"/>
    </w:rPr>
  </w:style>
  <w:style w:type="paragraph" w:customStyle="1" w:styleId="76">
    <w:name w:val="Table Paragraph"/>
    <w:basedOn w:val="1"/>
    <w:autoRedefine/>
    <w:qFormat/>
    <w:uiPriority w:val="1"/>
    <w:rPr>
      <w:lang w:val="zh-CN" w:bidi="zh-CN"/>
    </w:rPr>
  </w:style>
  <w:style w:type="paragraph" w:customStyle="1" w:styleId="77">
    <w:name w:val="小表格"/>
    <w:basedOn w:val="1"/>
    <w:autoRedefine/>
    <w:qFormat/>
    <w:uiPriority w:val="0"/>
    <w:pPr>
      <w:spacing w:line="240" w:lineRule="auto"/>
      <w:ind w:firstLine="0" w:firstLineChars="0"/>
      <w:jc w:val="center"/>
    </w:pPr>
    <w:rPr>
      <w:sz w:val="21"/>
      <w:szCs w:val="21"/>
    </w:rPr>
  </w:style>
  <w:style w:type="paragraph" w:customStyle="1" w:styleId="78">
    <w:name w:val="图表名"/>
    <w:basedOn w:val="1"/>
    <w:next w:val="1"/>
    <w:autoRedefine/>
    <w:qFormat/>
    <w:uiPriority w:val="0"/>
    <w:pPr>
      <w:spacing w:line="240" w:lineRule="auto"/>
      <w:ind w:firstLine="0" w:firstLineChars="0"/>
      <w:jc w:val="center"/>
    </w:pPr>
    <w:rPr>
      <w:b/>
      <w:kern w:val="0"/>
      <w:sz w:val="24"/>
    </w:rPr>
  </w:style>
  <w:style w:type="character" w:customStyle="1" w:styleId="79">
    <w:name w:val="纯文本 字符"/>
    <w:link w:val="21"/>
    <w:autoRedefine/>
    <w:qFormat/>
    <w:uiPriority w:val="0"/>
    <w:rPr>
      <w:rFonts w:ascii="宋体" w:hAnsi="Courier New"/>
      <w:kern w:val="2"/>
      <w:sz w:val="28"/>
    </w:rPr>
  </w:style>
  <w:style w:type="character" w:customStyle="1" w:styleId="80">
    <w:name w:val="表头 Char"/>
    <w:link w:val="65"/>
    <w:autoRedefine/>
    <w:qFormat/>
    <w:uiPriority w:val="0"/>
    <w:rPr>
      <w:rFonts w:ascii="宋体"/>
      <w:b/>
      <w:sz w:val="28"/>
    </w:rPr>
  </w:style>
  <w:style w:type="character" w:customStyle="1" w:styleId="81">
    <w:name w:val="首行缩进 Char"/>
    <w:link w:val="45"/>
    <w:autoRedefine/>
    <w:qFormat/>
    <w:uiPriority w:val="0"/>
    <w:rPr>
      <w:rFonts w:ascii="宋体" w:hAnsi="宋体" w:eastAsia="宋体" w:cs="宋体"/>
      <w:sz w:val="28"/>
    </w:rPr>
  </w:style>
  <w:style w:type="character" w:customStyle="1" w:styleId="82">
    <w:name w:val="填表5中 Char"/>
    <w:link w:val="74"/>
    <w:autoRedefine/>
    <w:qFormat/>
    <w:uiPriority w:val="0"/>
    <w:rPr>
      <w:rFonts w:ascii="宋体"/>
      <w:kern w:val="2"/>
      <w:sz w:val="21"/>
    </w:rPr>
  </w:style>
  <w:style w:type="paragraph" w:customStyle="1" w:styleId="83">
    <w:name w:val="附件封面2"/>
    <w:basedOn w:val="1"/>
    <w:autoRedefine/>
    <w:qFormat/>
    <w:uiPriority w:val="0"/>
    <w:pPr>
      <w:ind w:firstLine="562"/>
      <w:jc w:val="left"/>
      <w:outlineLvl w:val="2"/>
    </w:pPr>
    <w:rPr>
      <w:rFonts w:eastAsia="黑体"/>
      <w:b/>
      <w:bCs/>
    </w:rPr>
  </w:style>
  <w:style w:type="character" w:customStyle="1" w:styleId="84">
    <w:name w:val="未处理的提及1"/>
    <w:basedOn w:val="35"/>
    <w:autoRedefine/>
    <w:semiHidden/>
    <w:unhideWhenUsed/>
    <w:qFormat/>
    <w:uiPriority w:val="99"/>
    <w:rPr>
      <w:color w:val="605E5C"/>
      <w:shd w:val="clear" w:color="auto" w:fill="E1DFDD"/>
    </w:rPr>
  </w:style>
  <w:style w:type="character" w:customStyle="1" w:styleId="85">
    <w:name w:val="页脚 字符"/>
    <w:basedOn w:val="35"/>
    <w:link w:val="23"/>
    <w:autoRedefine/>
    <w:qFormat/>
    <w:uiPriority w:val="99"/>
    <w:rPr>
      <w:rFonts w:ascii="宋体" w:hAnsi="宋体" w:eastAsia="宋体" w:cs="宋体"/>
      <w:kern w:val="2"/>
      <w:sz w:val="21"/>
      <w:szCs w:val="18"/>
    </w:rPr>
  </w:style>
  <w:style w:type="character" w:customStyle="1" w:styleId="86">
    <w:name w:val="标题 字符"/>
    <w:basedOn w:val="35"/>
    <w:link w:val="30"/>
    <w:autoRedefine/>
    <w:qFormat/>
    <w:uiPriority w:val="0"/>
    <w:rPr>
      <w:rFonts w:ascii="Cambria" w:hAnsi="Cambria"/>
      <w:b/>
      <w:bCs/>
      <w:kern w:val="2"/>
      <w:sz w:val="32"/>
      <w:szCs w:val="32"/>
    </w:rPr>
  </w:style>
  <w:style w:type="paragraph" w:styleId="87">
    <w:name w:val="List Paragraph"/>
    <w:basedOn w:val="1"/>
    <w:autoRedefine/>
    <w:qFormat/>
    <w:uiPriority w:val="99"/>
    <w:pPr>
      <w:ind w:firstLine="420"/>
    </w:pPr>
  </w:style>
  <w:style w:type="character" w:customStyle="1" w:styleId="88">
    <w:name w:val="首行缩进 Char Char"/>
    <w:autoRedefine/>
    <w:qFormat/>
    <w:uiPriority w:val="0"/>
    <w:rPr>
      <w:rFonts w:ascii="宋体" w:eastAsia="宋体" w:cs="宋体"/>
      <w:kern w:val="2"/>
      <w:sz w:val="28"/>
      <w:lang w:val="en-US" w:eastAsia="zh-CN" w:bidi="ar-SA"/>
    </w:rPr>
  </w:style>
  <w:style w:type="paragraph" w:customStyle="1" w:styleId="89">
    <w:name w:val="填表4小中13磅"/>
    <w:basedOn w:val="62"/>
    <w:autoRedefine/>
    <w:qFormat/>
    <w:uiPriority w:val="0"/>
    <w:pPr>
      <w:spacing w:line="260" w:lineRule="exact"/>
    </w:pPr>
    <w:rPr>
      <w:rFonts w:cs="宋体"/>
      <w:szCs w:val="20"/>
    </w:rPr>
  </w:style>
  <w:style w:type="character" w:customStyle="1" w:styleId="90">
    <w:name w:val="正文6"/>
    <w:basedOn w:val="35"/>
    <w:autoRedefine/>
    <w:qFormat/>
    <w:uiPriority w:val="0"/>
    <w:rPr>
      <w:rFonts w:ascii="Times New Roman" w:hAnsi="Times New Roman" w:eastAsia="宋体"/>
      <w:sz w:val="28"/>
      <w:szCs w:val="28"/>
    </w:rPr>
  </w:style>
  <w:style w:type="paragraph" w:customStyle="1" w:styleId="91">
    <w:name w:val="默认段落字体 Para Char Char Char Char"/>
    <w:basedOn w:val="1"/>
    <w:autoRedefine/>
    <w:qFormat/>
    <w:uiPriority w:val="0"/>
  </w:style>
  <w:style w:type="paragraph" w:customStyle="1" w:styleId="92">
    <w:name w:val="表格"/>
    <w:basedOn w:val="1"/>
    <w:autoRedefine/>
    <w:qFormat/>
    <w:uiPriority w:val="0"/>
    <w:pPr>
      <w:spacing w:line="300" w:lineRule="exact"/>
      <w:ind w:firstLine="0" w:firstLineChars="0"/>
      <w:jc w:val="center"/>
    </w:pPr>
    <w:rPr>
      <w:rFonts w:ascii="Times New Roman" w:hAnsi="Times New Roman"/>
      <w:sz w:val="21"/>
    </w:rPr>
  </w:style>
  <w:style w:type="paragraph" w:customStyle="1" w:styleId="93">
    <w:name w:val="表格内容"/>
    <w:basedOn w:val="1"/>
    <w:autoRedefine/>
    <w:qFormat/>
    <w:uiPriority w:val="0"/>
    <w:pPr>
      <w:overflowPunct w:val="0"/>
      <w:adjustRightInd w:val="0"/>
      <w:spacing w:line="240" w:lineRule="auto"/>
      <w:ind w:firstLine="0" w:firstLineChars="0"/>
      <w:jc w:val="center"/>
      <w:textAlignment w:val="baseline"/>
    </w:pPr>
    <w:rPr>
      <w:rFonts w:ascii="Times New Roman" w:hAnsi="Times New Roman"/>
      <w:kern w:val="0"/>
      <w:sz w:val="21"/>
    </w:rPr>
  </w:style>
  <w:style w:type="character" w:customStyle="1" w:styleId="94">
    <w:name w:val="未处理的提及2"/>
    <w:basedOn w:val="35"/>
    <w:autoRedefine/>
    <w:semiHidden/>
    <w:unhideWhenUsed/>
    <w:qFormat/>
    <w:uiPriority w:val="99"/>
    <w:rPr>
      <w:color w:val="605E5C"/>
      <w:shd w:val="clear" w:color="auto" w:fill="E1DFDD"/>
    </w:rPr>
  </w:style>
  <w:style w:type="character" w:customStyle="1" w:styleId="95">
    <w:name w:val="填表4小中单倍行距 Char Char"/>
    <w:link w:val="66"/>
    <w:autoRedefine/>
    <w:qFormat/>
    <w:uiPriority w:val="0"/>
    <w:rPr>
      <w:rFonts w:ascii="宋体" w:hAnsi="宋体"/>
      <w:kern w:val="2"/>
      <w:sz w:val="24"/>
    </w:rPr>
  </w:style>
  <w:style w:type="character" w:customStyle="1" w:styleId="96">
    <w:name w:val="批注文字 字符"/>
    <w:basedOn w:val="35"/>
    <w:link w:val="17"/>
    <w:autoRedefine/>
    <w:qFormat/>
    <w:uiPriority w:val="0"/>
    <w:rPr>
      <w:rFonts w:ascii="宋体" w:hAnsi="宋体"/>
      <w:kern w:val="2"/>
      <w:sz w:val="28"/>
      <w:szCs w:val="24"/>
    </w:rPr>
  </w:style>
  <w:style w:type="character" w:customStyle="1" w:styleId="97">
    <w:name w:val="批注主题 字符"/>
    <w:basedOn w:val="96"/>
    <w:link w:val="31"/>
    <w:autoRedefine/>
    <w:qFormat/>
    <w:uiPriority w:val="0"/>
    <w:rPr>
      <w:rFonts w:ascii="宋体" w:hAnsi="宋体" w:cs="宋体"/>
      <w:b/>
      <w:bCs/>
      <w:kern w:val="2"/>
      <w:sz w:val="28"/>
      <w:szCs w:val="24"/>
    </w:rPr>
  </w:style>
  <w:style w:type="character" w:customStyle="1" w:styleId="98">
    <w:name w:val="Unresolved Mention"/>
    <w:basedOn w:val="35"/>
    <w:autoRedefine/>
    <w:semiHidden/>
    <w:unhideWhenUsed/>
    <w:qFormat/>
    <w:uiPriority w:val="99"/>
    <w:rPr>
      <w:color w:val="605E5C"/>
      <w:shd w:val="clear" w:color="auto" w:fill="E1DFDD"/>
    </w:rPr>
  </w:style>
  <w:style w:type="character" w:customStyle="1" w:styleId="99">
    <w:name w:val="标题 1 字符"/>
    <w:basedOn w:val="35"/>
    <w:link w:val="2"/>
    <w:autoRedefine/>
    <w:qFormat/>
    <w:uiPriority w:val="0"/>
    <w:rPr>
      <w:rFonts w:ascii="宋体" w:hAnsi="宋体" w:eastAsia="黑体" w:cs="宋体"/>
      <w:b/>
      <w:bCs/>
      <w:kern w:val="44"/>
      <w:sz w:val="32"/>
      <w:szCs w:val="44"/>
    </w:rPr>
  </w:style>
  <w:style w:type="character" w:customStyle="1" w:styleId="100">
    <w:name w:val="标题 2 字符"/>
    <w:basedOn w:val="35"/>
    <w:link w:val="3"/>
    <w:autoRedefine/>
    <w:qFormat/>
    <w:uiPriority w:val="0"/>
    <w:rPr>
      <w:rFonts w:ascii="宋体" w:hAnsi="宋体" w:eastAsia="楷体"/>
      <w:b/>
      <w:bCs/>
      <w:kern w:val="2"/>
      <w:sz w:val="32"/>
      <w:szCs w:val="32"/>
    </w:rPr>
  </w:style>
  <w:style w:type="paragraph" w:customStyle="1" w:styleId="10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7.jpeg"/><Relationship Id="rId41" Type="http://schemas.openxmlformats.org/officeDocument/2006/relationships/image" Target="media/image26.png"/><Relationship Id="rId40" Type="http://schemas.openxmlformats.org/officeDocument/2006/relationships/image" Target="media/image25.png"/><Relationship Id="rId4" Type="http://schemas.openxmlformats.org/officeDocument/2006/relationships/endnotes" Target="endnotes.xml"/><Relationship Id="rId39" Type="http://schemas.openxmlformats.org/officeDocument/2006/relationships/image" Target="media/image24.emf"/><Relationship Id="rId38" Type="http://schemas.openxmlformats.org/officeDocument/2006/relationships/oleObject" Target="embeddings/oleObject1.bin"/><Relationship Id="rId37" Type="http://schemas.openxmlformats.org/officeDocument/2006/relationships/image" Target="media/image23.jpeg"/><Relationship Id="rId36" Type="http://schemas.openxmlformats.org/officeDocument/2006/relationships/image" Target="media/image22.jpeg"/><Relationship Id="rId35" Type="http://schemas.openxmlformats.org/officeDocument/2006/relationships/image" Target="media/image21.jpeg"/><Relationship Id="rId34" Type="http://schemas.openxmlformats.org/officeDocument/2006/relationships/image" Target="media/image20.jpeg"/><Relationship Id="rId33" Type="http://schemas.openxmlformats.org/officeDocument/2006/relationships/image" Target="media/image19.jpeg"/><Relationship Id="rId32" Type="http://schemas.openxmlformats.org/officeDocument/2006/relationships/image" Target="media/image18.jpeg"/><Relationship Id="rId31" Type="http://schemas.openxmlformats.org/officeDocument/2006/relationships/image" Target="media/image17.jpeg"/><Relationship Id="rId30" Type="http://schemas.openxmlformats.org/officeDocument/2006/relationships/image" Target="media/image16.jpeg"/><Relationship Id="rId3" Type="http://schemas.openxmlformats.org/officeDocument/2006/relationships/footnotes" Target="footnotes.xml"/><Relationship Id="rId29" Type="http://schemas.openxmlformats.org/officeDocument/2006/relationships/image" Target="media/image15.jpeg"/><Relationship Id="rId28" Type="http://schemas.openxmlformats.org/officeDocument/2006/relationships/image" Target="media/image14.jpeg"/><Relationship Id="rId27" Type="http://schemas.openxmlformats.org/officeDocument/2006/relationships/image" Target="media/image13.jpeg"/><Relationship Id="rId26" Type="http://schemas.openxmlformats.org/officeDocument/2006/relationships/image" Target="media/image12.jpeg"/><Relationship Id="rId25" Type="http://schemas.openxmlformats.org/officeDocument/2006/relationships/image" Target="media/image11.jpe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jpe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110</Pages>
  <Words>12517</Words>
  <Characters>14691</Characters>
  <Lines>573</Lines>
  <Paragraphs>161</Paragraphs>
  <TotalTime>1</TotalTime>
  <ScaleCrop>false</ScaleCrop>
  <LinksUpToDate>false</LinksUpToDate>
  <CharactersWithSpaces>14963</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2022-07-06T01:32:00Z</dcterms:created>
  <dc:creator>Administrator.USER-20210203VE</dc:creator>
  <cp:lastModifiedBy>闲聊1422319431</cp:lastModifiedBy>
  <cp:lastPrinted>2024-04-22T01:19:00Z</cp:lastPrinted>
  <dcterms:modified xsi:type="dcterms:W3CDTF">2024-11-01T07:34:51Z</dcterms:modified>
  <cp:revision>702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D0498425AC8A495387619333F4B92DF5</vt:lpwstr>
  </property>
</Properties>
</file>